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Internal Audit Readiness Toolkit™</w:t>
      </w:r>
    </w:p>
    <w:p>
      <w:pPr>
        <w:jc w:val="center"/>
      </w:pPr>
      <w:r>
        <w:rPr>
          <w:color w:val="C97B2C"/>
          <w:sz w:val="26"/>
        </w:rPr>
        <w:t>Be ready for internal and external audit</w:t>
      </w:r>
    </w:p>
    <w:p/>
    <w:p/>
    <w:p>
      <w:pPr>
        <w:jc w:val="center"/>
      </w:pPr>
      <w:r>
        <w:rPr>
          <w:color w:val="555555"/>
          <w:sz w:val="20"/>
        </w:rPr>
        <w:t>Management / Internal Audit / Audit Committee  ·  Flagship Edition 2026</w:t>
      </w:r>
    </w:p>
    <w:p>
      <w:pPr>
        <w:jc w:val="center"/>
      </w:pPr>
      <w:r>
        <w:rPr>
          <w:i/>
          <w:color w:val="555555"/>
          <w:sz w:val="18"/>
        </w:rPr>
        <w:t>Outliers Professionals Ltd — Internal Control Centre Resource Library</w:t>
      </w:r>
    </w:p>
    <w:p>
      <w:r>
        <w:br w:type="page"/>
      </w:r>
    </w:p>
    <w:p>
      <w:pPr>
        <w:pStyle w:val="Heading1"/>
      </w:pPr>
      <w:r>
        <w:t>1. Executive Overview</w:t>
      </w:r>
    </w:p>
    <w:p>
      <w:r>
        <w:rPr>
          <w:b w:val="0"/>
          <w:i w:val="0"/>
          <w:sz w:val="20"/>
        </w:rPr>
        <w:t>This toolkit prepares the organisation for effective internal and external audit — documented controls, retrievable evidence, and tracked issues and actions.</w:t>
      </w:r>
    </w:p>
    <w:p>
      <w:r>
        <w:rPr>
          <w:b w:val="0"/>
          <w:i w:val="0"/>
          <w:sz w:val="19"/>
        </w:rPr>
        <w:t>This toolkit is part of the Outliers Internal Control Centre™ and is anchored to COSO, the IIA Standards and the Three Lines Model (by name). It gives boards, management and assurance providers an applied, end-to-end kit to design, operate, test and report controls in this domain.</w:t>
      </w:r>
    </w:p>
    <w:p>
      <w:pPr>
        <w:pStyle w:val="Heading1"/>
      </w:pPr>
      <w:r>
        <w:t>2. Objectives</w:t>
      </w:r>
    </w:p>
    <w:p>
      <w:r>
        <w:rPr>
          <w:b w:val="0"/>
          <w:i w:val="0"/>
          <w:sz w:val="20"/>
        </w:rPr>
        <w:t>The control objectives this toolkit helps you achieve:</w:t>
      </w:r>
    </w:p>
    <w:p>
      <w:pPr>
        <w:pStyle w:val="ListBullet"/>
      </w:pPr>
      <w:r>
        <w:rPr>
          <w:sz w:val="19"/>
        </w:rPr>
        <w:t>Align the control universe to the audit universe</w:t>
      </w:r>
    </w:p>
    <w:p>
      <w:pPr>
        <w:pStyle w:val="ListBullet"/>
      </w:pPr>
      <w:r>
        <w:rPr>
          <w:sz w:val="19"/>
        </w:rPr>
        <w:t>Document controls and key processes</w:t>
      </w:r>
    </w:p>
    <w:p>
      <w:pPr>
        <w:pStyle w:val="ListBullet"/>
      </w:pPr>
      <w:r>
        <w:rPr>
          <w:sz w:val="19"/>
        </w:rPr>
        <w:t>Make control evidence readily available</w:t>
      </w:r>
    </w:p>
    <w:p>
      <w:pPr>
        <w:pStyle w:val="ListBullet"/>
      </w:pPr>
      <w:r>
        <w:rPr>
          <w:sz w:val="19"/>
        </w:rPr>
        <w:t>Track audit issues and actions</w:t>
      </w:r>
    </w:p>
    <w:p>
      <w:pPr>
        <w:pStyle w:val="ListBullet"/>
      </w:pPr>
      <w:r>
        <w:rPr>
          <w:sz w:val="19"/>
        </w:rPr>
        <w:t>Close audit actions on time</w:t>
      </w:r>
    </w:p>
    <w:p>
      <w:pPr>
        <w:pStyle w:val="Heading1"/>
      </w:pPr>
      <w:r>
        <w:t>3. Governance</w:t>
      </w:r>
    </w:p>
    <w:p>
      <w:r>
        <w:rPr>
          <w:b w:val="0"/>
          <w:i w:val="0"/>
          <w:sz w:val="20"/>
        </w:rPr>
        <w:t>Audit readiness is prepared by management, assessed by internal audit and overseen by the audit committee:</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Line</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Audit Committee</w:t>
            </w:r>
          </w:p>
        </w:tc>
        <w:tc>
          <w:tcPr>
            <w:tcW w:type="dxa" w:w="8208"/>
          </w:tcPr>
          <w:p>
            <w:r/>
            <w:r>
              <w:rPr>
                <w:rFonts w:ascii="Arial" w:hAnsi="Arial"/>
                <w:b w:val="0"/>
                <w:sz w:val="16"/>
              </w:rPr>
              <w:t>Oversees the control environment and assurance</w:t>
            </w:r>
          </w:p>
        </w:tc>
      </w:tr>
      <w:tr>
        <w:tc>
          <w:tcPr>
            <w:tcW w:type="dxa" w:w="3312"/>
            <w:shd w:val="clear" w:fill="F4F7FB"/>
          </w:tcPr>
          <w:p>
            <w:r/>
            <w:r>
              <w:rPr>
                <w:rFonts w:ascii="Arial" w:hAnsi="Arial"/>
                <w:b w:val="0"/>
                <w:sz w:val="16"/>
              </w:rPr>
              <w:t>First line (management)</w:t>
            </w:r>
          </w:p>
        </w:tc>
        <w:tc>
          <w:tcPr>
            <w:tcW w:type="dxa" w:w="8208"/>
            <w:shd w:val="clear" w:fill="F4F7FB"/>
          </w:tcPr>
          <w:p>
            <w:r/>
            <w:r>
              <w:rPr>
                <w:rFonts w:ascii="Arial" w:hAnsi="Arial"/>
                <w:b w:val="0"/>
                <w:sz w:val="16"/>
              </w:rPr>
              <w:t>Owns and operates controls</w:t>
            </w:r>
          </w:p>
        </w:tc>
      </w:tr>
      <w:tr>
        <w:tc>
          <w:tcPr>
            <w:tcW w:type="dxa" w:w="3312"/>
          </w:tcPr>
          <w:p>
            <w:r/>
            <w:r>
              <w:rPr>
                <w:rFonts w:ascii="Arial" w:hAnsi="Arial"/>
                <w:b w:val="0"/>
                <w:sz w:val="16"/>
              </w:rPr>
              <w:t>Second line (risk/compliance)</w:t>
            </w:r>
          </w:p>
        </w:tc>
        <w:tc>
          <w:tcPr>
            <w:tcW w:type="dxa" w:w="8208"/>
          </w:tcPr>
          <w:p>
            <w:r/>
            <w:r>
              <w:rPr>
                <w:rFonts w:ascii="Arial" w:hAnsi="Arial"/>
                <w:b w:val="0"/>
                <w:sz w:val="16"/>
              </w:rPr>
              <w:t>Sets policy, monitors and supports</w:t>
            </w:r>
          </w:p>
        </w:tc>
      </w:tr>
      <w:tr>
        <w:tc>
          <w:tcPr>
            <w:tcW w:type="dxa" w:w="3312"/>
            <w:shd w:val="clear" w:fill="F4F7FB"/>
          </w:tcPr>
          <w:p>
            <w:r/>
            <w:r>
              <w:rPr>
                <w:rFonts w:ascii="Arial" w:hAnsi="Arial"/>
                <w:b w:val="0"/>
                <w:sz w:val="16"/>
              </w:rPr>
              <w:t>Third line (internal audit)</w:t>
            </w:r>
          </w:p>
        </w:tc>
        <w:tc>
          <w:tcPr>
            <w:tcW w:type="dxa" w:w="8208"/>
            <w:shd w:val="clear" w:fill="F4F7FB"/>
          </w:tcPr>
          <w:p>
            <w:r/>
            <w:r>
              <w:rPr>
                <w:rFonts w:ascii="Arial" w:hAnsi="Arial"/>
                <w:b w:val="0"/>
                <w:sz w:val="16"/>
              </w:rPr>
              <w:t>Provides independent assurance</w:t>
            </w:r>
          </w:p>
        </w:tc>
      </w:tr>
    </w:tbl>
    <w:p>
      <w:pPr>
        <w:pStyle w:val="Heading1"/>
      </w:pPr>
      <w:r>
        <w:t>4. Control Framework</w:t>
      </w:r>
    </w:p>
    <w:p>
      <w:r>
        <w:rPr>
          <w:b w:val="0"/>
          <w:i w:val="0"/>
          <w:sz w:val="20"/>
        </w:rPr>
        <w:t>The framework aligns the control universe to the audit universe, ensures documentation and evidence readiness, and tracks audit issues and actions to closure — aligned to the IIA Standards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Informal / unreliable</w:t>
            </w:r>
          </w:p>
        </w:tc>
        <w:tc>
          <w:tcPr>
            <w:tcW w:type="dxa" w:w="2232"/>
          </w:tcPr>
          <w:p>
            <w:r/>
            <w:r>
              <w:rPr>
                <w:rFonts w:ascii="Arial" w:hAnsi="Arial"/>
                <w:b w:val="0"/>
                <w:sz w:val="16"/>
              </w:rPr>
              <w:t>Basic, inconsistent</w:t>
            </w:r>
          </w:p>
        </w:tc>
        <w:tc>
          <w:tcPr>
            <w:tcW w:type="dxa" w:w="2232"/>
          </w:tcPr>
          <w:p>
            <w:r/>
            <w:r>
              <w:rPr>
                <w:rFonts w:ascii="Arial" w:hAnsi="Arial"/>
                <w:b w:val="0"/>
                <w:sz w:val="16"/>
              </w:rPr>
              <w:t>Documented &amp; standardised</w:t>
            </w:r>
          </w:p>
        </w:tc>
        <w:tc>
          <w:tcPr>
            <w:tcW w:type="dxa" w:w="2232"/>
          </w:tcPr>
          <w:p>
            <w:r/>
            <w:r>
              <w:rPr>
                <w:rFonts w:ascii="Arial" w:hAnsi="Arial"/>
                <w:b w:val="0"/>
                <w:sz w:val="16"/>
              </w:rPr>
              <w:t>Monitored &amp; tested</w:t>
            </w:r>
          </w:p>
        </w:tc>
        <w:tc>
          <w:tcPr>
            <w:tcW w:type="dxa" w:w="2232"/>
          </w:tcPr>
          <w:p>
            <w:r/>
            <w:r>
              <w:rPr>
                <w:rFonts w:ascii="Arial" w:hAnsi="Arial"/>
                <w:b w:val="0"/>
                <w:sz w:val="16"/>
              </w:rPr>
              <w:t>Automated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Management</w:t>
            </w:r>
          </w:p>
        </w:tc>
        <w:tc>
          <w:tcPr>
            <w:tcW w:type="dxa" w:w="8064"/>
          </w:tcPr>
          <w:p>
            <w:r/>
            <w:r>
              <w:rPr>
                <w:rFonts w:ascii="Arial" w:hAnsi="Arial"/>
                <w:b w:val="0"/>
                <w:sz w:val="17"/>
              </w:rPr>
              <w:t>Prepares documentation and evidence</w:t>
            </w:r>
          </w:p>
        </w:tc>
      </w:tr>
      <w:tr>
        <w:tc>
          <w:tcPr>
            <w:tcW w:type="dxa" w:w="3456"/>
            <w:shd w:val="clear" w:fill="F4F7FB"/>
          </w:tcPr>
          <w:p>
            <w:r/>
            <w:r>
              <w:rPr>
                <w:rFonts w:ascii="Arial" w:hAnsi="Arial"/>
                <w:b w:val="0"/>
                <w:sz w:val="17"/>
              </w:rPr>
              <w:t>Control owners</w:t>
            </w:r>
          </w:p>
        </w:tc>
        <w:tc>
          <w:tcPr>
            <w:tcW w:type="dxa" w:w="8064"/>
            <w:shd w:val="clear" w:fill="F4F7FB"/>
          </w:tcPr>
          <w:p>
            <w:r/>
            <w:r>
              <w:rPr>
                <w:rFonts w:ascii="Arial" w:hAnsi="Arial"/>
                <w:b w:val="0"/>
                <w:sz w:val="17"/>
              </w:rPr>
              <w:t>Retain and provide control evidence</w:t>
            </w:r>
          </w:p>
        </w:tc>
      </w:tr>
      <w:tr>
        <w:tc>
          <w:tcPr>
            <w:tcW w:type="dxa" w:w="3456"/>
          </w:tcPr>
          <w:p>
            <w:r/>
            <w:r>
              <w:rPr>
                <w:rFonts w:ascii="Arial" w:hAnsi="Arial"/>
                <w:b w:val="0"/>
                <w:sz w:val="17"/>
              </w:rPr>
              <w:t>Internal audit</w:t>
            </w:r>
          </w:p>
        </w:tc>
        <w:tc>
          <w:tcPr>
            <w:tcW w:type="dxa" w:w="8064"/>
          </w:tcPr>
          <w:p>
            <w:r/>
            <w:r>
              <w:rPr>
                <w:rFonts w:ascii="Arial" w:hAnsi="Arial"/>
                <w:b w:val="0"/>
                <w:sz w:val="17"/>
              </w:rPr>
              <w:t>Assesses readiness; tests controls</w:t>
            </w:r>
          </w:p>
        </w:tc>
      </w:tr>
      <w:tr>
        <w:tc>
          <w:tcPr>
            <w:tcW w:type="dxa" w:w="3456"/>
            <w:shd w:val="clear" w:fill="F4F7FB"/>
          </w:tcPr>
          <w:p>
            <w:r/>
            <w:r>
              <w:rPr>
                <w:rFonts w:ascii="Arial" w:hAnsi="Arial"/>
                <w:b w:val="0"/>
                <w:sz w:val="17"/>
              </w:rPr>
              <w:t>Risk &amp; compliance</w:t>
            </w:r>
          </w:p>
        </w:tc>
        <w:tc>
          <w:tcPr>
            <w:tcW w:type="dxa" w:w="8064"/>
            <w:shd w:val="clear" w:fill="F4F7FB"/>
          </w:tcPr>
          <w:p>
            <w:r/>
            <w:r>
              <w:rPr>
                <w:rFonts w:ascii="Arial" w:hAnsi="Arial"/>
                <w:b w:val="0"/>
                <w:sz w:val="17"/>
              </w:rPr>
              <w:t>Supports documentation and tracking</w:t>
            </w:r>
          </w:p>
        </w:tc>
      </w:tr>
      <w:tr>
        <w:tc>
          <w:tcPr>
            <w:tcW w:type="dxa" w:w="3456"/>
          </w:tcPr>
          <w:p>
            <w:r/>
            <w:r>
              <w:rPr>
                <w:rFonts w:ascii="Arial" w:hAnsi="Arial"/>
                <w:b w:val="0"/>
                <w:sz w:val="17"/>
              </w:rPr>
              <w:t>Audit committee</w:t>
            </w:r>
          </w:p>
        </w:tc>
        <w:tc>
          <w:tcPr>
            <w:tcW w:type="dxa" w:w="8064"/>
          </w:tcPr>
          <w:p>
            <w:r/>
            <w:r>
              <w:rPr>
                <w:rFonts w:ascii="Arial" w:hAnsi="Arial"/>
                <w:b w:val="0"/>
                <w:sz w:val="17"/>
              </w:rPr>
              <w:t>Oversees readiness and issue closure</w:t>
            </w:r>
          </w:p>
        </w:tc>
      </w:tr>
    </w:tbl>
    <w:p>
      <w:pPr>
        <w:pStyle w:val="Heading1"/>
      </w:pPr>
      <w:r>
        <w:t>6. Risk-Control Matrix (sample)</w:t>
      </w:r>
    </w:p>
    <w:p>
      <w:r>
        <w:rPr>
          <w:b w:val="0"/>
          <w:i/>
          <w:sz w:val="19"/>
        </w:rPr>
        <w:t>Illustrative risk-control matrix. The full working version ships as an editable XLSX with risk owner, control owner, frequency, type, design &amp; operating effectiveness, status, due date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Risk</w:t>
            </w:r>
          </w:p>
        </w:tc>
        <w:tc>
          <w:tcPr>
            <w:tcW w:type="dxa" w:w="3744"/>
            <w:shd w:val="clear" w:fill="1B4D89"/>
          </w:tcPr>
          <w:p>
            <w:r/>
            <w:r>
              <w:rPr>
                <w:rFonts w:ascii="Arial" w:hAnsi="Arial"/>
                <w:b/>
                <w:color w:val="FFFFFF"/>
                <w:sz w:val="16"/>
              </w:rPr>
              <w:t>Control Activity</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AR-01</w:t>
            </w:r>
          </w:p>
        </w:tc>
        <w:tc>
          <w:tcPr>
            <w:tcW w:type="dxa" w:w="2880"/>
          </w:tcPr>
          <w:p>
            <w:r/>
            <w:r>
              <w:rPr>
                <w:rFonts w:ascii="Arial" w:hAnsi="Arial"/>
                <w:b w:val="0"/>
                <w:sz w:val="16"/>
              </w:rPr>
              <w:t>Control universe undocumented</w:t>
            </w:r>
          </w:p>
        </w:tc>
        <w:tc>
          <w:tcPr>
            <w:tcW w:type="dxa" w:w="3744"/>
          </w:tcPr>
          <w:p>
            <w:r/>
            <w:r>
              <w:rPr>
                <w:rFonts w:ascii="Arial" w:hAnsi="Arial"/>
                <w:b w:val="0"/>
                <w:sz w:val="16"/>
              </w:rPr>
              <w:t>Maintain documented control universe</w:t>
            </w:r>
          </w:p>
        </w:tc>
        <w:tc>
          <w:tcPr>
            <w:tcW w:type="dxa" w:w="1728"/>
          </w:tcPr>
          <w:p>
            <w:r/>
            <w:r>
              <w:rPr>
                <w:rFonts w:ascii="Arial" w:hAnsi="Arial"/>
                <w:b w:val="0"/>
                <w:sz w:val="16"/>
              </w:rPr>
              <w:t>Internal Audit</w:t>
            </w:r>
          </w:p>
        </w:tc>
        <w:tc>
          <w:tcPr>
            <w:tcW w:type="dxa" w:w="1296"/>
          </w:tcPr>
          <w:p>
            <w:r/>
            <w:r>
              <w:rPr>
                <w:rFonts w:ascii="Arial" w:hAnsi="Arial"/>
                <w:b w:val="0"/>
                <w:sz w:val="16"/>
              </w:rPr>
              <w:t>Annually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AR-02</w:t>
            </w:r>
          </w:p>
        </w:tc>
        <w:tc>
          <w:tcPr>
            <w:tcW w:type="dxa" w:w="2880"/>
            <w:shd w:val="clear" w:fill="F4F7FB"/>
          </w:tcPr>
          <w:p>
            <w:r/>
            <w:r>
              <w:rPr>
                <w:rFonts w:ascii="Arial" w:hAnsi="Arial"/>
                <w:b w:val="0"/>
                <w:sz w:val="16"/>
              </w:rPr>
              <w:t>Documentation stale</w:t>
            </w:r>
          </w:p>
        </w:tc>
        <w:tc>
          <w:tcPr>
            <w:tcW w:type="dxa" w:w="3744"/>
            <w:shd w:val="clear" w:fill="F4F7FB"/>
          </w:tcPr>
          <w:p>
            <w:r/>
            <w:r>
              <w:rPr>
                <w:rFonts w:ascii="Arial" w:hAnsi="Arial"/>
                <w:b w:val="0"/>
                <w:sz w:val="16"/>
              </w:rPr>
              <w:t>Keep SOPs and RACMs current</w:t>
            </w:r>
          </w:p>
        </w:tc>
        <w:tc>
          <w:tcPr>
            <w:tcW w:type="dxa" w:w="1728"/>
            <w:shd w:val="clear" w:fill="F4F7FB"/>
          </w:tcPr>
          <w:p>
            <w:r/>
            <w:r>
              <w:rPr>
                <w:rFonts w:ascii="Arial" w:hAnsi="Arial"/>
                <w:b w:val="0"/>
                <w:sz w:val="16"/>
              </w:rPr>
              <w:t>Process Owners</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AR-03</w:t>
            </w:r>
          </w:p>
        </w:tc>
        <w:tc>
          <w:tcPr>
            <w:tcW w:type="dxa" w:w="2880"/>
          </w:tcPr>
          <w:p>
            <w:r/>
            <w:r>
              <w:rPr>
                <w:rFonts w:ascii="Arial" w:hAnsi="Arial"/>
                <w:b w:val="0"/>
                <w:sz w:val="16"/>
              </w:rPr>
              <w:t>Evidence not retrievable</w:t>
            </w:r>
          </w:p>
        </w:tc>
        <w:tc>
          <w:tcPr>
            <w:tcW w:type="dxa" w:w="3744"/>
          </w:tcPr>
          <w:p>
            <w:r/>
            <w:r>
              <w:rPr>
                <w:rFonts w:ascii="Arial" w:hAnsi="Arial"/>
                <w:b w:val="0"/>
                <w:sz w:val="16"/>
              </w:rPr>
              <w:t>Retain and index control evidence</w:t>
            </w:r>
          </w:p>
        </w:tc>
        <w:tc>
          <w:tcPr>
            <w:tcW w:type="dxa" w:w="1728"/>
          </w:tcPr>
          <w:p>
            <w:r/>
            <w:r>
              <w:rPr>
                <w:rFonts w:ascii="Arial" w:hAnsi="Arial"/>
                <w:b w:val="0"/>
                <w:sz w:val="16"/>
              </w:rPr>
              <w:t>Control Owners</w:t>
            </w:r>
          </w:p>
        </w:tc>
        <w:tc>
          <w:tcPr>
            <w:tcW w:type="dxa" w:w="1296"/>
          </w:tcPr>
          <w:p>
            <w:r/>
            <w:r>
              <w:rPr>
                <w:rFonts w:ascii="Arial" w:hAnsi="Arial"/>
                <w:b w:val="0"/>
                <w:sz w:val="16"/>
              </w:rPr>
              <w:t>Continuous</w:t>
            </w:r>
          </w:p>
        </w:tc>
        <w:tc>
          <w:tcPr>
            <w:tcW w:type="dxa" w:w="1296"/>
          </w:tcPr>
          <w:p>
            <w:r/>
            <w:r>
              <w:rPr>
                <w:rFonts w:ascii="Arial" w:hAnsi="Arial"/>
                <w:b w:val="0"/>
                <w:sz w:val="16"/>
              </w:rPr>
              <w:t>Detective</w:t>
            </w:r>
          </w:p>
        </w:tc>
      </w:tr>
      <w:tr>
        <w:tc>
          <w:tcPr>
            <w:tcW w:type="dxa" w:w="864"/>
            <w:shd w:val="clear" w:fill="F4F7FB"/>
          </w:tcPr>
          <w:p>
            <w:r/>
            <w:r>
              <w:rPr>
                <w:rFonts w:ascii="Arial" w:hAnsi="Arial"/>
                <w:b w:val="0"/>
                <w:sz w:val="16"/>
              </w:rPr>
              <w:t>AR-04</w:t>
            </w:r>
          </w:p>
        </w:tc>
        <w:tc>
          <w:tcPr>
            <w:tcW w:type="dxa" w:w="2880"/>
            <w:shd w:val="clear" w:fill="F4F7FB"/>
          </w:tcPr>
          <w:p>
            <w:r/>
            <w:r>
              <w:rPr>
                <w:rFonts w:ascii="Arial" w:hAnsi="Arial"/>
                <w:b w:val="0"/>
                <w:sz w:val="16"/>
              </w:rPr>
              <w:t>Issues not tracked</w:t>
            </w:r>
          </w:p>
        </w:tc>
        <w:tc>
          <w:tcPr>
            <w:tcW w:type="dxa" w:w="3744"/>
            <w:shd w:val="clear" w:fill="F4F7FB"/>
          </w:tcPr>
          <w:p>
            <w:r/>
            <w:r>
              <w:rPr>
                <w:rFonts w:ascii="Arial" w:hAnsi="Arial"/>
                <w:b w:val="0"/>
                <w:sz w:val="16"/>
              </w:rPr>
              <w:t>Maintain audit issue &amp; action tracker</w:t>
            </w:r>
          </w:p>
        </w:tc>
        <w:tc>
          <w:tcPr>
            <w:tcW w:type="dxa" w:w="1728"/>
            <w:shd w:val="clear" w:fill="F4F7FB"/>
          </w:tcPr>
          <w:p>
            <w:r/>
            <w:r>
              <w:rPr>
                <w:rFonts w:ascii="Arial" w:hAnsi="Arial"/>
                <w:b w:val="0"/>
                <w:sz w:val="16"/>
              </w:rPr>
              <w:t>Management</w:t>
            </w:r>
          </w:p>
        </w:tc>
        <w:tc>
          <w:tcPr>
            <w:tcW w:type="dxa" w:w="1296"/>
            <w:shd w:val="clear" w:fill="F4F7FB"/>
          </w:tcPr>
          <w:p>
            <w:r/>
            <w:r>
              <w:rPr>
                <w:rFonts w:ascii="Arial" w:hAnsi="Arial"/>
                <w:b w:val="0"/>
                <w:sz w:val="16"/>
              </w:rPr>
              <w:t>Monthly</w:t>
            </w:r>
          </w:p>
        </w:tc>
        <w:tc>
          <w:tcPr>
            <w:tcW w:type="dxa" w:w="1296"/>
            <w:shd w:val="clear" w:fill="F4F7FB"/>
          </w:tcPr>
          <w:p>
            <w:r/>
            <w:r>
              <w:rPr>
                <w:rFonts w:ascii="Arial" w:hAnsi="Arial"/>
                <w:b w:val="0"/>
                <w:sz w:val="16"/>
              </w:rPr>
              <w:t>Detective</w:t>
            </w:r>
          </w:p>
        </w:tc>
      </w:tr>
    </w:tbl>
    <w:p>
      <w:pPr>
        <w:pStyle w:val="Heading1"/>
      </w:pPr>
      <w:r>
        <w:t>7. Sample Controls</w:t>
      </w:r>
    </w:p>
    <w:p>
      <w:pPr>
        <w:pStyle w:val="ListBullet"/>
      </w:pPr>
      <w:r>
        <w:rPr>
          <w:sz w:val="19"/>
        </w:rPr>
        <w:t>Documented control universe mapped to risks</w:t>
      </w:r>
    </w:p>
    <w:p>
      <w:pPr>
        <w:pStyle w:val="ListBullet"/>
      </w:pPr>
      <w:r>
        <w:rPr>
          <w:sz w:val="19"/>
        </w:rPr>
        <w:t>Current SOPs and risk &amp; control matrices</w:t>
      </w:r>
    </w:p>
    <w:p>
      <w:pPr>
        <w:pStyle w:val="ListBullet"/>
      </w:pPr>
      <w:r>
        <w:rPr>
          <w:sz w:val="19"/>
        </w:rPr>
        <w:t>Retained, retrievable control evidence</w:t>
      </w:r>
    </w:p>
    <w:p>
      <w:pPr>
        <w:pStyle w:val="ListBullet"/>
      </w:pPr>
      <w:r>
        <w:rPr>
          <w:sz w:val="19"/>
        </w:rPr>
        <w:t>Audit issue and action tracker</w:t>
      </w:r>
    </w:p>
    <w:p>
      <w:pPr>
        <w:pStyle w:val="ListBullet"/>
      </w:pPr>
      <w:r>
        <w:rPr>
          <w:sz w:val="19"/>
        </w:rPr>
        <w:t>Action closure with evidence</w:t>
      </w:r>
    </w:p>
    <w:p>
      <w:pPr>
        <w:pStyle w:val="Heading1"/>
      </w:pPr>
      <w:r>
        <w:t>8. Control Testing Approach</w:t>
      </w:r>
    </w:p>
    <w:p>
      <w:r>
        <w:rPr>
          <w:b w:val="0"/>
          <w:i w:val="0"/>
          <w:sz w:val="20"/>
        </w:rPr>
        <w:t>Test design first (is the control capable of mitigating the risk?), then operating effectiveness (did it operate over the period?). Use the assessment scale: Effective / Partially effective / Ineffective.</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Control</w:t>
            </w:r>
          </w:p>
        </w:tc>
        <w:tc>
          <w:tcPr>
            <w:tcW w:type="dxa" w:w="4320"/>
            <w:shd w:val="clear" w:fill="1B4D89"/>
          </w:tcPr>
          <w:p>
            <w:r/>
            <w:r>
              <w:rPr>
                <w:rFonts w:ascii="Arial" w:hAnsi="Arial"/>
                <w:b/>
                <w:color w:val="FFFFFF"/>
                <w:sz w:val="16"/>
              </w:rPr>
              <w:t>Test procedure</w:t>
            </w:r>
          </w:p>
        </w:tc>
        <w:tc>
          <w:tcPr>
            <w:tcW w:type="dxa" w:w="2160"/>
            <w:shd w:val="clear" w:fill="1B4D89"/>
          </w:tcPr>
          <w:p>
            <w:r/>
            <w:r>
              <w:rPr>
                <w:rFonts w:ascii="Arial" w:hAnsi="Arial"/>
                <w:b/>
                <w:color w:val="FFFFFF"/>
                <w:sz w:val="16"/>
              </w:rPr>
              <w:t>Sample 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Documentation</w:t>
            </w:r>
          </w:p>
        </w:tc>
        <w:tc>
          <w:tcPr>
            <w:tcW w:type="dxa" w:w="4320"/>
          </w:tcPr>
          <w:p>
            <w:r/>
            <w:r>
              <w:rPr>
                <w:rFonts w:ascii="Arial" w:hAnsi="Arial"/>
                <w:b w:val="0"/>
                <w:sz w:val="16"/>
              </w:rPr>
              <w:t>Inspect SOPs and RACMs for currency</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r>
        <w:tc>
          <w:tcPr>
            <w:tcW w:type="dxa" w:w="2880"/>
            <w:shd w:val="clear" w:fill="F4F7FB"/>
          </w:tcPr>
          <w:p>
            <w:r/>
            <w:r>
              <w:rPr>
                <w:rFonts w:ascii="Arial" w:hAnsi="Arial"/>
                <w:b w:val="0"/>
                <w:sz w:val="16"/>
              </w:rPr>
              <w:t>Evidence</w:t>
            </w:r>
          </w:p>
        </w:tc>
        <w:tc>
          <w:tcPr>
            <w:tcW w:type="dxa" w:w="4320"/>
            <w:shd w:val="clear" w:fill="F4F7FB"/>
          </w:tcPr>
          <w:p>
            <w:r/>
            <w:r>
              <w:rPr>
                <w:rFonts w:ascii="Arial" w:hAnsi="Arial"/>
                <w:b w:val="0"/>
                <w:sz w:val="16"/>
              </w:rPr>
              <w:t>Request and retrieve evidence for a sample of controls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Issue management</w:t>
            </w:r>
          </w:p>
        </w:tc>
        <w:tc>
          <w:tcPr>
            <w:tcW w:type="dxa" w:w="4320"/>
          </w:tcPr>
          <w:p>
            <w:r/>
            <w:r>
              <w:rPr>
                <w:rFonts w:ascii="Arial" w:hAnsi="Arial"/>
                <w:b w:val="0"/>
                <w:sz w:val="16"/>
              </w:rPr>
              <w:t>Review the issue tracker and closure evidence</w:t>
            </w:r>
          </w:p>
        </w:tc>
        <w:tc>
          <w:tcPr>
            <w:tcW w:type="dxa" w:w="2160"/>
          </w:tcPr>
          <w:p>
            <w:r/>
            <w:r>
              <w:rPr>
                <w:rFonts w:ascii="Arial" w:hAnsi="Arial"/>
                <w:b w:val="0"/>
                <w:sz w:val="16"/>
              </w:rPr>
              <w:t>Full population</w:t>
            </w:r>
          </w:p>
        </w:tc>
        <w:tc>
          <w:tcPr>
            <w:tcW w:type="dxa" w:w="1440"/>
          </w:tcPr>
          <w:p>
            <w:r/>
            <w:r>
              <w:rPr>
                <w:rFonts w:ascii="Arial" w:hAnsi="Arial"/>
                <w:b w:val="0"/>
                <w:sz w:val="16"/>
              </w:rPr>
              <w:t>Quarterly</w:t>
            </w:r>
          </w:p>
        </w:tc>
      </w:tr>
    </w:tbl>
    <w:p>
      <w:r>
        <w:rPr>
          <w:b w:val="0"/>
          <w:i/>
          <w:sz w:val="18"/>
        </w:rPr>
        <w:t>Record results in the Control Testing Workpaper and log gaps in the Control Deficiency Tracker (both ship as editable files).</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Document control universe and map to risks</w:t>
            </w:r>
          </w:p>
        </w:tc>
        <w:tc>
          <w:tcPr>
            <w:tcW w:type="dxa" w:w="4320"/>
          </w:tcPr>
          <w:p>
            <w:r/>
            <w:r>
              <w:rPr>
                <w:rFonts w:ascii="Arial" w:hAnsi="Arial"/>
                <w:b w:val="0"/>
                <w:sz w:val="17"/>
              </w:rPr>
              <w:t>Control universe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Bring SOPs and RACMs current</w:t>
            </w:r>
          </w:p>
        </w:tc>
        <w:tc>
          <w:tcPr>
            <w:tcW w:type="dxa" w:w="4320"/>
            <w:shd w:val="clear" w:fill="F4F7FB"/>
          </w:tcPr>
          <w:p>
            <w:r/>
            <w:r>
              <w:rPr>
                <w:rFonts w:ascii="Arial" w:hAnsi="Arial"/>
                <w:b w:val="0"/>
                <w:sz w:val="17"/>
              </w:rPr>
              <w:t>Current documentation</w:t>
            </w:r>
          </w:p>
        </w:tc>
      </w:tr>
      <w:tr>
        <w:tc>
          <w:tcPr>
            <w:tcW w:type="dxa" w:w="1872"/>
          </w:tcPr>
          <w:p>
            <w:r/>
            <w:r>
              <w:rPr>
                <w:rFonts w:ascii="Arial" w:hAnsi="Arial"/>
                <w:b w:val="0"/>
                <w:sz w:val="17"/>
              </w:rPr>
              <w:t>Phase 3</w:t>
            </w:r>
          </w:p>
        </w:tc>
        <w:tc>
          <w:tcPr>
            <w:tcW w:type="dxa" w:w="5328"/>
          </w:tcPr>
          <w:p>
            <w:r/>
            <w:r>
              <w:rPr>
                <w:rFonts w:ascii="Arial" w:hAnsi="Arial"/>
                <w:b w:val="0"/>
                <w:sz w:val="17"/>
              </w:rPr>
              <w:t>Index and retain evidence</w:t>
            </w:r>
          </w:p>
        </w:tc>
        <w:tc>
          <w:tcPr>
            <w:tcW w:type="dxa" w:w="4320"/>
          </w:tcPr>
          <w:p>
            <w:r/>
            <w:r>
              <w:rPr>
                <w:rFonts w:ascii="Arial" w:hAnsi="Arial"/>
                <w:b w:val="0"/>
                <w:sz w:val="17"/>
              </w:rPr>
              <w:t>Retrievable evidence</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Track and close audit actions</w:t>
            </w:r>
          </w:p>
        </w:tc>
        <w:tc>
          <w:tcPr>
            <w:tcW w:type="dxa" w:w="4320"/>
            <w:shd w:val="clear" w:fill="F4F7FB"/>
          </w:tcPr>
          <w:p>
            <w:r/>
            <w:r>
              <w:rPr>
                <w:rFonts w:ascii="Arial" w:hAnsi="Arial"/>
                <w:b w:val="0"/>
                <w:sz w:val="17"/>
              </w:rPr>
              <w:t>Audit-ready organisation</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Internal Audit Readiness Checklist</w:t>
      </w:r>
    </w:p>
    <w:p>
      <w:pPr>
        <w:pStyle w:val="ListBullet"/>
      </w:pPr>
      <w:r>
        <w:rPr>
          <w:sz w:val="19"/>
        </w:rPr>
        <w:t>Control Testing Workpaper Template</w:t>
      </w:r>
    </w:p>
    <w:p>
      <w:pPr>
        <w:pStyle w:val="ListBullet"/>
      </w:pPr>
      <w:r>
        <w:rPr>
          <w:sz w:val="19"/>
        </w:rPr>
        <w:t>Audit Evidence Pack Template</w:t>
      </w:r>
    </w:p>
    <w:p>
      <w:pPr>
        <w:pStyle w:val="ListBullet"/>
      </w:pPr>
      <w:r>
        <w:rPr>
          <w:sz w:val="19"/>
        </w:rPr>
        <w:t>Audit Issue &amp; Action Tracker</w:t>
      </w:r>
    </w:p>
    <w:p>
      <w:pPr>
        <w:pStyle w:val="ListBullet"/>
      </w:pPr>
      <w:r>
        <w:rPr>
          <w:sz w:val="19"/>
        </w:rPr>
        <w:t>Deficiency &amp; Remediation Log (XLSX)</w:t>
      </w:r>
    </w:p>
    <w:p>
      <w:pPr>
        <w:pStyle w:val="Heading1"/>
      </w:pPr>
      <w:r>
        <w:t>11. Checklists</w:t>
      </w:r>
    </w:p>
    <w:p>
      <w:pPr>
        <w:ind w:left="288"/>
      </w:pPr>
      <w:r>
        <w:rPr>
          <w:sz w:val="19"/>
        </w:rPr>
        <w:t>☐  Control universe documented and mapped</w:t>
      </w:r>
    </w:p>
    <w:p>
      <w:pPr>
        <w:ind w:left="288"/>
      </w:pPr>
      <w:r>
        <w:rPr>
          <w:sz w:val="19"/>
        </w:rPr>
        <w:t>☐  SOPs current for key processes</w:t>
      </w:r>
    </w:p>
    <w:p>
      <w:pPr>
        <w:ind w:left="288"/>
      </w:pPr>
      <w:r>
        <w:rPr>
          <w:sz w:val="19"/>
        </w:rPr>
        <w:t>☐  Risk &amp; control matrices maintained</w:t>
      </w:r>
    </w:p>
    <w:p>
      <w:pPr>
        <w:ind w:left="288"/>
      </w:pPr>
      <w:r>
        <w:rPr>
          <w:sz w:val="19"/>
        </w:rPr>
        <w:t>☐  Control evidence retained and retrievable</w:t>
      </w:r>
    </w:p>
    <w:p>
      <w:pPr>
        <w:ind w:left="288"/>
      </w:pPr>
      <w:r>
        <w:rPr>
          <w:sz w:val="19"/>
        </w:rPr>
        <w:t>☐  Sampling populations available</w:t>
      </w:r>
    </w:p>
    <w:p>
      <w:pPr>
        <w:ind w:left="288"/>
      </w:pPr>
      <w:r>
        <w:rPr>
          <w:sz w:val="19"/>
        </w:rPr>
        <w:t>☐  Prior audit issues tracked</w:t>
      </w:r>
    </w:p>
    <w:p>
      <w:pPr>
        <w:ind w:left="288"/>
      </w:pPr>
      <w:r>
        <w:rPr>
          <w:sz w:val="19"/>
        </w:rPr>
        <w:t>☐  Actions have owners and due dates</w:t>
      </w:r>
    </w:p>
    <w:p>
      <w:pPr>
        <w:ind w:left="288"/>
      </w:pPr>
      <w:r>
        <w:rPr>
          <w:sz w:val="19"/>
        </w:rPr>
        <w:t>☐  Closed actions evidenced</w:t>
      </w:r>
    </w:p>
    <w:p>
      <w:pPr>
        <w:pStyle w:val="Heading1"/>
      </w:pPr>
      <w:r>
        <w:t>12. Board Reporting Examples</w:t>
      </w:r>
    </w:p>
    <w:p>
      <w:r>
        <w:rPr>
          <w:b w:val="0"/>
          <w:i w:val="0"/>
          <w:sz w:val="19"/>
        </w:rPr>
        <w:t>Standard control report: executive summary · control effectiveness (RAG) · key metrics · deficiencies &amp; remediation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Readiness index</w:t>
            </w:r>
          </w:p>
        </w:tc>
        <w:tc>
          <w:tcPr>
            <w:tcW w:type="dxa" w:w="1440"/>
          </w:tcPr>
          <w:p>
            <w:r/>
            <w:r>
              <w:rPr>
                <w:rFonts w:ascii="Arial" w:hAnsi="Arial"/>
                <w:b w:val="0"/>
                <w:sz w:val="16"/>
              </w:rPr>
              <w:t>65</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Close gaps</w:t>
            </w:r>
          </w:p>
        </w:tc>
      </w:tr>
      <w:tr>
        <w:tc>
          <w:tcPr>
            <w:tcW w:type="dxa" w:w="3168"/>
            <w:shd w:val="clear" w:fill="F4F7FB"/>
          </w:tcPr>
          <w:p>
            <w:r/>
            <w:r>
              <w:rPr>
                <w:rFonts w:ascii="Arial" w:hAnsi="Arial"/>
                <w:b w:val="0"/>
                <w:sz w:val="16"/>
              </w:rPr>
              <w:t>Documentation current</w:t>
            </w:r>
          </w:p>
        </w:tc>
        <w:tc>
          <w:tcPr>
            <w:tcW w:type="dxa" w:w="1440"/>
            <w:shd w:val="clear" w:fill="F4F7FB"/>
          </w:tcPr>
          <w:p>
            <w:r/>
            <w:r>
              <w:rPr>
                <w:rFonts w:ascii="Arial" w:hAnsi="Arial"/>
                <w:b w:val="0"/>
                <w:sz w:val="16"/>
              </w:rPr>
              <w:t>80%</w:t>
            </w:r>
          </w:p>
        </w:tc>
        <w:tc>
          <w:tcPr>
            <w:tcW w:type="dxa" w:w="1440"/>
            <w:shd w:val="clear" w:fill="F4F7FB"/>
          </w:tcPr>
          <w:p>
            <w:r/>
            <w:r>
              <w:rPr>
                <w:rFonts w:ascii="Arial" w:hAnsi="Arial"/>
                <w:b w:val="0"/>
                <w:sz w:val="16"/>
              </w:rPr>
              <w:t>100%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Update RACMs</w:t>
            </w:r>
          </w:p>
        </w:tc>
      </w:tr>
      <w:tr>
        <w:tc>
          <w:tcPr>
            <w:tcW w:type="dxa" w:w="3168"/>
          </w:tcPr>
          <w:p>
            <w:r/>
            <w:r>
              <w:rPr>
                <w:rFonts w:ascii="Arial" w:hAnsi="Arial"/>
                <w:b w:val="0"/>
                <w:sz w:val="16"/>
              </w:rPr>
              <w:t>Evidence retrievable</w:t>
            </w:r>
          </w:p>
        </w:tc>
        <w:tc>
          <w:tcPr>
            <w:tcW w:type="dxa" w:w="1440"/>
          </w:tcPr>
          <w:p>
            <w:r/>
            <w:r>
              <w:rPr>
                <w:rFonts w:ascii="Arial" w:hAnsi="Arial"/>
                <w:b w:val="0"/>
                <w:sz w:val="16"/>
              </w:rPr>
              <w:t>85%</w:t>
            </w:r>
          </w:p>
        </w:tc>
        <w:tc>
          <w:tcPr>
            <w:tcW w:type="dxa" w:w="1440"/>
          </w:tcPr>
          <w:p>
            <w:r/>
            <w:r>
              <w:rPr>
                <w:rFonts w:ascii="Arial" w:hAnsi="Arial"/>
                <w:b w:val="0"/>
                <w:sz w:val="16"/>
              </w:rPr>
              <w:t>≥95%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Index evidence</w:t>
            </w:r>
          </w:p>
        </w:tc>
      </w:tr>
      <w:tr>
        <w:tc>
          <w:tcPr>
            <w:tcW w:type="dxa" w:w="3168"/>
            <w:shd w:val="clear" w:fill="F4F7FB"/>
          </w:tcPr>
          <w:p>
            <w:r/>
            <w:r>
              <w:rPr>
                <w:rFonts w:ascii="Arial" w:hAnsi="Arial"/>
                <w:b w:val="0"/>
                <w:sz w:val="16"/>
              </w:rPr>
              <w:t>Actions closed in SLA</w:t>
            </w:r>
          </w:p>
        </w:tc>
        <w:tc>
          <w:tcPr>
            <w:tcW w:type="dxa" w:w="1440"/>
            <w:shd w:val="clear" w:fill="F4F7FB"/>
          </w:tcPr>
          <w:p>
            <w:r/>
            <w:r>
              <w:rPr>
                <w:rFonts w:ascii="Arial" w:hAnsi="Arial"/>
                <w:b w:val="0"/>
                <w:sz w:val="16"/>
              </w:rPr>
              <w:t>78%</w:t>
            </w:r>
          </w:p>
        </w:tc>
        <w:tc>
          <w:tcPr>
            <w:tcW w:type="dxa" w:w="1440"/>
            <w:shd w:val="clear" w:fill="F4F7FB"/>
          </w:tcPr>
          <w:p>
            <w:r/>
            <w:r>
              <w:rPr>
                <w:rFonts w:ascii="Arial" w:hAnsi="Arial"/>
                <w:b w:val="0"/>
                <w:sz w:val="16"/>
              </w:rPr>
              <w:t>≥90%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Accelerate closure</w:t>
            </w:r>
          </w:p>
        </w:tc>
      </w:tr>
    </w:tbl>
    <w:p>
      <w:pPr>
        <w:pStyle w:val="Heading1"/>
      </w:pPr>
      <w:r>
        <w:t>13. Audit Committee Reporting</w:t>
      </w:r>
    </w:p>
    <w:p>
      <w:r>
        <w:rPr>
          <w:b w:val="0"/>
          <w:i/>
          <w:sz w:val="19"/>
        </w:rPr>
        <w:t>Illustrative one-page summary for the audit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Audit readiness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Established; advancing toward Strategic</w:t>
            </w:r>
          </w:p>
        </w:tc>
      </w:tr>
      <w:tr>
        <w:tc>
          <w:tcPr>
            <w:tcW w:type="dxa" w:w="2736"/>
            <w:shd w:val="clear" w:fill="F4F7FB"/>
          </w:tcPr>
          <w:p>
            <w:r/>
            <w:r>
              <w:rPr>
                <w:rFonts w:ascii="Arial" w:hAnsi="Arial"/>
                <w:b w:val="0"/>
                <w:sz w:val="16"/>
              </w:rPr>
              <w:t>Documentation</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Being brought current</w:t>
            </w:r>
          </w:p>
        </w:tc>
      </w:tr>
      <w:tr>
        <w:tc>
          <w:tcPr>
            <w:tcW w:type="dxa" w:w="2736"/>
          </w:tcPr>
          <w:p>
            <w:r/>
            <w:r>
              <w:rPr>
                <w:rFonts w:ascii="Arial" w:hAnsi="Arial"/>
                <w:b w:val="0"/>
                <w:sz w:val="16"/>
              </w:rPr>
              <w:t>Issue closure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Improving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Note readiness; approve resourcing</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Control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Effective</w:t>
            </w:r>
          </w:p>
        </w:tc>
        <w:tc>
          <w:tcPr>
            <w:tcW w:type="dxa" w:w="5184"/>
          </w:tcPr>
          <w:p>
            <w:r/>
            <w:r>
              <w:rPr>
                <w:rFonts w:ascii="Arial" w:hAnsi="Arial"/>
                <w:b w:val="0"/>
                <w:sz w:val="16"/>
              </w:rPr>
              <w:t>Design and operating effectiveness both effective</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Partially effective</w:t>
            </w:r>
          </w:p>
        </w:tc>
        <w:tc>
          <w:tcPr>
            <w:tcW w:type="dxa" w:w="5184"/>
            <w:shd w:val="clear" w:fill="F4F7FB"/>
          </w:tcPr>
          <w:p>
            <w:r/>
            <w:r>
              <w:rPr>
                <w:rFonts w:ascii="Arial" w:hAnsi="Arial"/>
                <w:b w:val="0"/>
                <w:sz w:val="16"/>
              </w:rPr>
              <w:t>Design or operating effectiveness only partially effective</w:t>
            </w:r>
          </w:p>
        </w:tc>
        <w:tc>
          <w:tcPr>
            <w:tcW w:type="dxa" w:w="2880"/>
            <w:shd w:val="clear" w:fill="F4F7FB"/>
          </w:tcPr>
          <w:p>
            <w:r/>
            <w:r>
              <w:rPr>
                <w:rFonts w:ascii="Arial" w:hAnsi="Arial"/>
                <w:b w:val="0"/>
                <w:sz w:val="16"/>
              </w:rPr>
              <w:t>Improve and re-test</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Ineffective</w:t>
            </w:r>
          </w:p>
        </w:tc>
        <w:tc>
          <w:tcPr>
            <w:tcW w:type="dxa" w:w="5184"/>
          </w:tcPr>
          <w:p>
            <w:r/>
            <w:r>
              <w:rPr>
                <w:rFonts w:ascii="Arial" w:hAnsi="Arial"/>
                <w:b w:val="0"/>
                <w:sz w:val="16"/>
              </w:rPr>
              <w:t>Design or operating effectiveness ineffective; or critical deficiency</w:t>
            </w:r>
          </w:p>
        </w:tc>
        <w:tc>
          <w:tcPr>
            <w:tcW w:type="dxa" w:w="2880"/>
          </w:tcPr>
          <w:p>
            <w:r/>
            <w:r>
              <w:rPr>
                <w:rFonts w:ascii="Arial" w:hAnsi="Arial"/>
                <w:b w:val="0"/>
                <w:sz w:val="16"/>
              </w:rPr>
              <w:t>Escalate and remediate</w:t>
            </w:r>
          </w:p>
        </w:tc>
      </w:tr>
    </w:tbl>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