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CFO EXCELLENCE CENTRE™</w:t>
      </w:r>
    </w:p>
    <w:p>
      <w:pPr>
        <w:jc w:val="center"/>
      </w:pPr>
      <w:r>
        <w:rPr>
          <w:b/>
          <w:color w:val="10243F"/>
          <w:sz w:val="48"/>
        </w:rPr>
        <w:t>Finance Transformation Toolkit™</w:t>
      </w:r>
    </w:p>
    <w:p>
      <w:pPr>
        <w:jc w:val="center"/>
      </w:pPr>
      <w:r>
        <w:rPr>
          <w:color w:val="C97B2C"/>
          <w:sz w:val="26"/>
        </w:rPr>
        <w:t>Elevate the finance function</w:t>
      </w:r>
    </w:p>
    <w:p/>
    <w:p/>
    <w:p>
      <w:pPr>
        <w:jc w:val="center"/>
      </w:pPr>
      <w:r>
        <w:rPr>
          <w:color w:val="555555"/>
          <w:sz w:val="20"/>
        </w:rPr>
        <w:t>CFO / Transformation Lead  ·  Flagship Edition 2026</w:t>
      </w:r>
    </w:p>
    <w:p>
      <w:pPr>
        <w:jc w:val="center"/>
      </w:pPr>
      <w:r>
        <w:rPr>
          <w:i/>
          <w:color w:val="555555"/>
          <w:sz w:val="18"/>
        </w:rPr>
        <w:t>Outliers Professionals Ltd — publication-ready resource for the CFO Excellence Centre Resource Library</w:t>
      </w:r>
    </w:p>
    <w:p>
      <w:r>
        <w:br w:type="page"/>
      </w:r>
    </w:p>
    <w:p>
      <w:pPr>
        <w:pStyle w:val="Heading1"/>
      </w:pPr>
      <w:r>
        <w:t>1. Full Guide</w:t>
      </w:r>
    </w:p>
    <w:p>
      <w:r>
        <w:rPr>
          <w:b w:val="0"/>
          <w:i w:val="0"/>
          <w:sz w:val="20"/>
        </w:rPr>
        <w:t>This toolkit leads change that elevates the finance function — from the case for change and target operating model to a governed roadmap, technology enablement and value realisation.</w:t>
      </w:r>
    </w:p>
    <w:p>
      <w:pPr>
        <w:pStyle w:val="Heading2"/>
      </w:pPr>
      <w:r>
        <w:t>Operating lifecycle</w:t>
      </w:r>
    </w:p>
    <w:p>
      <w:pPr>
        <w:pStyle w:val="ListNumber"/>
      </w:pPr>
      <w:r>
        <w:rPr>
          <w:sz w:val="19"/>
        </w:rPr>
        <w:t>Frame — the case for change</w:t>
      </w:r>
    </w:p>
    <w:p>
      <w:pPr>
        <w:pStyle w:val="ListNumber"/>
      </w:pPr>
      <w:r>
        <w:rPr>
          <w:sz w:val="19"/>
        </w:rPr>
        <w:t>Design — the target operating model</w:t>
      </w:r>
    </w:p>
    <w:p>
      <w:pPr>
        <w:pStyle w:val="ListNumber"/>
      </w:pPr>
      <w:r>
        <w:rPr>
          <w:sz w:val="19"/>
        </w:rPr>
        <w:t>Plan — the transformation roadmap</w:t>
      </w:r>
    </w:p>
    <w:p>
      <w:pPr>
        <w:pStyle w:val="ListNumber"/>
      </w:pPr>
      <w:r>
        <w:rPr>
          <w:sz w:val="19"/>
        </w:rPr>
        <w:t>Deliver — change, capability and technology</w:t>
      </w:r>
    </w:p>
    <w:p>
      <w:pPr>
        <w:pStyle w:val="ListNumber"/>
      </w:pPr>
      <w:r>
        <w:rPr>
          <w:sz w:val="19"/>
        </w:rPr>
        <w:t>Realise — track and bank the value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Reactive / manual</w:t>
            </w:r>
          </w:p>
        </w:tc>
        <w:tc>
          <w:tcPr>
            <w:tcW w:type="dxa" w:w="2232"/>
          </w:tcPr>
          <w:p>
            <w:r/>
            <w:r>
              <w:rPr>
                <w:rFonts w:ascii="Arial" w:hAnsi="Arial"/>
                <w:b w:val="0"/>
                <w:sz w:val="16"/>
              </w:rPr>
              <w:t>Core but unstandardised</w:t>
            </w:r>
          </w:p>
        </w:tc>
        <w:tc>
          <w:tcPr>
            <w:tcW w:type="dxa" w:w="2232"/>
          </w:tcPr>
          <w:p>
            <w:r/>
            <w:r>
              <w:rPr>
                <w:rFonts w:ascii="Arial" w:hAnsi="Arial"/>
                <w:b w:val="0"/>
                <w:sz w:val="16"/>
              </w:rPr>
              <w:t>Standardised &amp; controlled</w:t>
            </w:r>
          </w:p>
        </w:tc>
        <w:tc>
          <w:tcPr>
            <w:tcW w:type="dxa" w:w="2232"/>
          </w:tcPr>
          <w:p>
            <w:r/>
            <w:r>
              <w:rPr>
                <w:rFonts w:ascii="Arial" w:hAnsi="Arial"/>
                <w:b w:val="0"/>
                <w:sz w:val="16"/>
              </w:rPr>
              <w:t>Measured &amp; automated</w:t>
            </w:r>
          </w:p>
        </w:tc>
        <w:tc>
          <w:tcPr>
            <w:tcW w:type="dxa" w:w="2232"/>
          </w:tcPr>
          <w:p>
            <w:r/>
            <w:r>
              <w:rPr>
                <w:rFonts w:ascii="Arial" w:hAnsi="Arial"/>
                <w:b w:val="0"/>
                <w:sz w:val="16"/>
              </w:rPr>
              <w:t>Predictive &amp; value-creating</w:t>
            </w:r>
          </w:p>
        </w:tc>
      </w:tr>
    </w:tbl>
    <w:p>
      <w:pPr>
        <w:pStyle w:val="Heading2"/>
      </w:pPr>
      <w:r>
        <w:t>Key components</w:t>
      </w:r>
    </w:p>
    <w:p>
      <w:pPr>
        <w:pStyle w:val="ListBullet"/>
      </w:pPr>
      <w:r>
        <w:rPr>
          <w:sz w:val="19"/>
        </w:rPr>
        <w:t>Case for change</w:t>
      </w:r>
    </w:p>
    <w:p>
      <w:pPr>
        <w:pStyle w:val="ListBullet"/>
      </w:pPr>
      <w:r>
        <w:rPr>
          <w:sz w:val="19"/>
        </w:rPr>
        <w:t>Target operating model</w:t>
      </w:r>
    </w:p>
    <w:p>
      <w:pPr>
        <w:pStyle w:val="ListBullet"/>
      </w:pPr>
      <w:r>
        <w:rPr>
          <w:sz w:val="19"/>
        </w:rPr>
        <w:t>Transformation roadmap</w:t>
      </w:r>
    </w:p>
    <w:p>
      <w:pPr>
        <w:pStyle w:val="ListBullet"/>
      </w:pPr>
      <w:r>
        <w:rPr>
          <w:sz w:val="19"/>
        </w:rPr>
        <w:t>Change &amp; capability</w:t>
      </w:r>
    </w:p>
    <w:p>
      <w:pPr>
        <w:pStyle w:val="ListBullet"/>
      </w:pPr>
      <w:r>
        <w:rPr>
          <w:sz w:val="19"/>
        </w:rPr>
        <w:t>Technology enablement</w:t>
      </w:r>
    </w:p>
    <w:p>
      <w:pPr>
        <w:pStyle w:val="ListBullet"/>
      </w:pPr>
      <w:r>
        <w:rPr>
          <w:sz w:val="19"/>
        </w:rPr>
        <w:t>Value realisation</w:t>
      </w:r>
    </w:p>
    <w:p>
      <w:pPr>
        <w:pStyle w:val="Heading1"/>
      </w:pPr>
      <w:r>
        <w:t>2. Templates &amp; Contents</w:t>
      </w:r>
    </w:p>
    <w:p>
      <w:pPr>
        <w:pStyle w:val="Heading3"/>
      </w:pPr>
      <w:r>
        <w:t>Finance target operating model template</w:t>
      </w:r>
    </w:p>
    <w:p>
      <w:r>
        <w:rPr>
          <w:b w:val="0"/>
          <w:i w:val="0"/>
          <w:sz w:val="19"/>
        </w:rPr>
        <w:t>Define the future finance operating model.</w:t>
      </w:r>
    </w:p>
    <w:p>
      <w:pPr>
        <w:pStyle w:val="Heading3"/>
      </w:pPr>
      <w:r>
        <w:t>Finance transformation roadmap tracker</w:t>
      </w:r>
    </w:p>
    <w:p>
      <w:r>
        <w:rPr>
          <w:b w:val="0"/>
          <w:i w:val="0"/>
          <w:sz w:val="19"/>
        </w:rPr>
        <w:t>Track initiatives, progress and benefits (supplied as a working XLSX).</w:t>
      </w:r>
    </w:p>
    <w:p>
      <w:pPr>
        <w:pStyle w:val="Heading3"/>
      </w:pPr>
      <w:r>
        <w:t>Finance automation opportunity register</w:t>
      </w:r>
    </w:p>
    <w:p>
      <w:r>
        <w:rPr>
          <w:b w:val="0"/>
          <w:i w:val="0"/>
          <w:sz w:val="19"/>
        </w:rPr>
        <w:t>Capture and prioritise automation opportunities.</w:t>
      </w:r>
    </w:p>
    <w:p>
      <w:pPr>
        <w:pStyle w:val="Heading3"/>
      </w:pPr>
      <w:r>
        <w:t>Finance transformation playbook</w:t>
      </w:r>
    </w:p>
    <w:p>
      <w:r>
        <w:rPr>
          <w:b w:val="0"/>
          <w:i w:val="0"/>
          <w:sz w:val="19"/>
        </w:rPr>
        <w:t>How to plan and deliver finance transformation.</w:t>
      </w:r>
    </w:p>
    <w:p>
      <w:pPr>
        <w:pStyle w:val="Heading1"/>
      </w:pPr>
      <w:r>
        <w:t>3. Checklists</w:t>
      </w:r>
    </w:p>
    <w:p>
      <w:pPr>
        <w:ind w:left="288"/>
      </w:pPr>
      <w:r>
        <w:rPr>
          <w:sz w:val="19"/>
        </w:rPr>
        <w:t>☐  Case for change articulated</w:t>
      </w:r>
    </w:p>
    <w:p>
      <w:pPr>
        <w:ind w:left="288"/>
      </w:pPr>
      <w:r>
        <w:rPr>
          <w:sz w:val="19"/>
        </w:rPr>
        <w:t>☐  Target operating model defined</w:t>
      </w:r>
    </w:p>
    <w:p>
      <w:pPr>
        <w:ind w:left="288"/>
      </w:pPr>
      <w:r>
        <w:rPr>
          <w:sz w:val="19"/>
        </w:rPr>
        <w:t>☐  Transformation roadmap in place</w:t>
      </w:r>
    </w:p>
    <w:p>
      <w:pPr>
        <w:ind w:left="288"/>
      </w:pPr>
      <w:r>
        <w:rPr>
          <w:sz w:val="19"/>
        </w:rPr>
        <w:t>☐  Initiatives owned and tracked</w:t>
      </w:r>
    </w:p>
    <w:p>
      <w:pPr>
        <w:ind w:left="288"/>
      </w:pPr>
      <w:r>
        <w:rPr>
          <w:sz w:val="19"/>
        </w:rPr>
        <w:t>☐  Technology and data enable finance</w:t>
      </w:r>
    </w:p>
    <w:p>
      <w:pPr>
        <w:ind w:left="288"/>
      </w:pPr>
      <w:r>
        <w:rPr>
          <w:sz w:val="19"/>
        </w:rPr>
        <w:t>☐  Change and capability addressed</w:t>
      </w:r>
    </w:p>
    <w:p>
      <w:pPr>
        <w:ind w:left="288"/>
      </w:pPr>
      <w:r>
        <w:rPr>
          <w:sz w:val="19"/>
        </w:rPr>
        <w:t>☐  Value realised and tracked</w:t>
      </w:r>
    </w:p>
    <w:p>
      <w:pPr>
        <w:pStyle w:val="Heading2"/>
      </w:pPr>
      <w:r>
        <w:t>Governance Structure</w:t>
      </w:r>
    </w:p>
    <w:p>
      <w:r>
        <w:rPr>
          <w:b w:val="0"/>
          <w:i w:val="0"/>
          <w:sz w:val="20"/>
        </w:rPr>
        <w:t>Transformation is sponsored by the CFO and overseen by the board for major programmes:</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financial reporting, controls, risk and capital</w:t>
            </w:r>
          </w:p>
        </w:tc>
      </w:tr>
      <w:tr>
        <w:tc>
          <w:tcPr>
            <w:tcW w:type="dxa" w:w="3312"/>
            <w:shd w:val="clear" w:fill="F4F7FB"/>
          </w:tcPr>
          <w:p>
            <w:r/>
            <w:r>
              <w:rPr>
                <w:rFonts w:ascii="Arial" w:hAnsi="Arial"/>
                <w:b w:val="0"/>
                <w:sz w:val="16"/>
              </w:rPr>
              <w:t>CFO</w:t>
            </w:r>
          </w:p>
        </w:tc>
        <w:tc>
          <w:tcPr>
            <w:tcW w:type="dxa" w:w="8208"/>
            <w:shd w:val="clear" w:fill="F4F7FB"/>
          </w:tcPr>
          <w:p>
            <w:r/>
            <w:r>
              <w:rPr>
                <w:rFonts w:ascii="Arial" w:hAnsi="Arial"/>
                <w:b w:val="0"/>
                <w:sz w:val="16"/>
              </w:rPr>
              <w:t>Owns the finance function and agenda</w:t>
            </w:r>
          </w:p>
        </w:tc>
      </w:tr>
      <w:tr>
        <w:tc>
          <w:tcPr>
            <w:tcW w:type="dxa" w:w="3312"/>
          </w:tcPr>
          <w:p>
            <w:r/>
            <w:r>
              <w:rPr>
                <w:rFonts w:ascii="Arial" w:hAnsi="Arial"/>
                <w:b w:val="0"/>
                <w:sz w:val="16"/>
              </w:rPr>
              <w:t>Finance leadership</w:t>
            </w:r>
          </w:p>
        </w:tc>
        <w:tc>
          <w:tcPr>
            <w:tcW w:type="dxa" w:w="8208"/>
          </w:tcPr>
          <w:p>
            <w:r/>
            <w:r>
              <w:rPr>
                <w:rFonts w:ascii="Arial" w:hAnsi="Arial"/>
                <w:b w:val="0"/>
                <w:sz w:val="16"/>
              </w:rPr>
              <w:t>Run FP&amp;A, control, treasury, reporting</w:t>
            </w:r>
          </w:p>
        </w:tc>
      </w:tr>
      <w:tr>
        <w:tc>
          <w:tcPr>
            <w:tcW w:type="dxa" w:w="3312"/>
            <w:shd w:val="clear" w:fill="F4F7FB"/>
          </w:tcPr>
          <w:p>
            <w:r/>
            <w:r>
              <w:rPr>
                <w:rFonts w:ascii="Arial" w:hAnsi="Arial"/>
                <w:b w:val="0"/>
                <w:sz w:val="16"/>
              </w:rPr>
              <w:t>Finance business partners</w:t>
            </w:r>
          </w:p>
        </w:tc>
        <w:tc>
          <w:tcPr>
            <w:tcW w:type="dxa" w:w="8208"/>
            <w:shd w:val="clear" w:fill="F4F7FB"/>
          </w:tcPr>
          <w:p>
            <w:r/>
            <w:r>
              <w:rPr>
                <w:rFonts w:ascii="Arial" w:hAnsi="Arial"/>
                <w:b w:val="0"/>
                <w:sz w:val="16"/>
              </w:rPr>
              <w:t>Connect finance to the business</w:t>
            </w:r>
          </w:p>
        </w:tc>
      </w:tr>
      <w:tr>
        <w:tc>
          <w:tcPr>
            <w:tcW w:type="dxa" w:w="3312"/>
          </w:tcPr>
          <w:p>
            <w:r/>
            <w:r>
              <w:rPr>
                <w:rFonts w:ascii="Arial" w:hAnsi="Arial"/>
                <w:b w:val="0"/>
                <w:sz w:val="16"/>
              </w:rPr>
              <w:t>Finance team</w:t>
            </w:r>
          </w:p>
        </w:tc>
        <w:tc>
          <w:tcPr>
            <w:tcW w:type="dxa" w:w="8208"/>
          </w:tcPr>
          <w:p>
            <w:r/>
            <w:r>
              <w:rPr>
                <w:rFonts w:ascii="Arial" w:hAnsi="Arial"/>
                <w:b w:val="0"/>
                <w:sz w:val="16"/>
              </w:rPr>
              <w:t>Deliver close, reporting, analysis and controls</w:t>
            </w:r>
          </w:p>
        </w:tc>
      </w:tr>
    </w:tbl>
    <w:p>
      <w:pPr>
        <w:pStyle w:val="Heading2"/>
      </w:pPr>
      <w:r>
        <w:t>Reporting Example</w:t>
      </w:r>
    </w:p>
    <w:p>
      <w:r>
        <w:rPr>
          <w:b w:val="0"/>
          <w:i w:val="0"/>
          <w:sz w:val="19"/>
        </w:rPr>
        <w:t>Standard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880"/>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728"/>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2880"/>
          </w:tcPr>
          <w:p>
            <w:r/>
            <w:r>
              <w:rPr>
                <w:rFonts w:ascii="Arial" w:hAnsi="Arial"/>
                <w:b w:val="0"/>
                <w:sz w:val="16"/>
              </w:rPr>
              <w:t>Initiatives on track</w:t>
            </w:r>
          </w:p>
        </w:tc>
        <w:tc>
          <w:tcPr>
            <w:tcW w:type="dxa" w:w="1440"/>
          </w:tcPr>
          <w:p>
            <w:r/>
            <w:r>
              <w:rPr>
                <w:rFonts w:ascii="Arial" w:hAnsi="Arial"/>
                <w:b w:val="0"/>
                <w:sz w:val="16"/>
              </w:rPr>
              <w:t>Mixed</w:t>
            </w:r>
          </w:p>
        </w:tc>
        <w:tc>
          <w:tcPr>
            <w:tcW w:type="dxa" w:w="1728"/>
          </w:tcPr>
          <w:p>
            <w:r/>
            <w:r>
              <w:rPr>
                <w:rFonts w:ascii="Arial" w:hAnsi="Arial"/>
                <w:b w:val="0"/>
                <w:sz w:val="16"/>
              </w:rPr>
              <w:t>≥85%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Reset lagging initiatives</w:t>
            </w:r>
          </w:p>
        </w:tc>
      </w:tr>
      <w:tr>
        <w:tc>
          <w:tcPr>
            <w:tcW w:type="dxa" w:w="2880"/>
            <w:shd w:val="clear" w:fill="F4F7FB"/>
          </w:tcPr>
          <w:p>
            <w:r/>
            <w:r>
              <w:rPr>
                <w:rFonts w:ascii="Arial" w:hAnsi="Arial"/>
                <w:b w:val="0"/>
                <w:sz w:val="16"/>
              </w:rPr>
              <w:t>Benefit realisation</w:t>
            </w:r>
          </w:p>
        </w:tc>
        <w:tc>
          <w:tcPr>
            <w:tcW w:type="dxa" w:w="1440"/>
            <w:shd w:val="clear" w:fill="F4F7FB"/>
          </w:tcPr>
          <w:p>
            <w:r/>
            <w:r>
              <w:rPr>
                <w:rFonts w:ascii="Arial" w:hAnsi="Arial"/>
                <w:b w:val="0"/>
                <w:sz w:val="16"/>
              </w:rPr>
              <w:t>On plan</w:t>
            </w:r>
          </w:p>
        </w:tc>
        <w:tc>
          <w:tcPr>
            <w:tcW w:type="dxa" w:w="1728"/>
            <w:shd w:val="clear" w:fill="F4F7FB"/>
          </w:tcPr>
          <w:p>
            <w:r/>
            <w:r>
              <w:rPr>
                <w:rFonts w:ascii="Arial" w:hAnsi="Arial"/>
                <w:b w:val="0"/>
                <w:sz w:val="16"/>
              </w:rPr>
              <w:t>On plan</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r>
        <w:tc>
          <w:tcPr>
            <w:tcW w:type="dxa" w:w="2880"/>
          </w:tcPr>
          <w:p>
            <w:r/>
            <w:r>
              <w:rPr>
                <w:rFonts w:ascii="Arial" w:hAnsi="Arial"/>
                <w:b w:val="0"/>
                <w:sz w:val="16"/>
              </w:rPr>
              <w:t>Automation coverage</w:t>
            </w:r>
          </w:p>
        </w:tc>
        <w:tc>
          <w:tcPr>
            <w:tcW w:type="dxa" w:w="1440"/>
          </w:tcPr>
          <w:p>
            <w:r/>
            <w:r>
              <w:rPr>
                <w:rFonts w:ascii="Arial" w:hAnsi="Arial"/>
                <w:b w:val="0"/>
                <w:sz w:val="16"/>
              </w:rPr>
              <w:t>Rising</w:t>
            </w:r>
          </w:p>
        </w:tc>
        <w:tc>
          <w:tcPr>
            <w:tcW w:type="dxa" w:w="1728"/>
          </w:tcPr>
          <w:p>
            <w:r/>
            <w:r>
              <w:rPr>
                <w:rFonts w:ascii="Arial" w:hAnsi="Arial"/>
                <w:b w:val="0"/>
                <w:sz w:val="16"/>
              </w:rPr>
              <w:t>Rising</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2880"/>
            <w:shd w:val="clear" w:fill="F4F7FB"/>
          </w:tcPr>
          <w:p>
            <w:r/>
            <w:r>
              <w:rPr>
                <w:rFonts w:ascii="Arial" w:hAnsi="Arial"/>
                <w:b w:val="0"/>
                <w:sz w:val="16"/>
              </w:rPr>
              <w:t>Capability uplift</w:t>
            </w:r>
          </w:p>
        </w:tc>
        <w:tc>
          <w:tcPr>
            <w:tcW w:type="dxa" w:w="1440"/>
            <w:shd w:val="clear" w:fill="F4F7FB"/>
          </w:tcPr>
          <w:p>
            <w:r/>
            <w:r>
              <w:rPr>
                <w:rFonts w:ascii="Arial" w:hAnsi="Arial"/>
                <w:b w:val="0"/>
                <w:sz w:val="16"/>
              </w:rPr>
              <w:t>In progress</w:t>
            </w:r>
          </w:p>
        </w:tc>
        <w:tc>
          <w:tcPr>
            <w:tcW w:type="dxa" w:w="1728"/>
            <w:shd w:val="clear" w:fill="F4F7FB"/>
          </w:tcPr>
          <w:p>
            <w:r/>
            <w:r>
              <w:rPr>
                <w:rFonts w:ascii="Arial" w:hAnsi="Arial"/>
                <w:b w:val="0"/>
                <w:sz w:val="16"/>
              </w:rPr>
              <w:t>On plan</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Accelerate</w:t>
            </w:r>
          </w:p>
        </w:tc>
      </w:tr>
    </w:tbl>
    <w:p>
      <w:pPr>
        <w:pStyle w:val="Heading2"/>
      </w:pPr>
      <w:r>
        <w:t>Board Reporting Section</w:t>
      </w:r>
    </w:p>
    <w:p>
      <w:r>
        <w:rPr>
          <w:b w:val="0"/>
          <w:i/>
          <w:sz w:val="19"/>
        </w:rPr>
        <w:t>Illustrative one-page board summary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Transformation</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Underway; benefits beginning to land</w:t>
            </w:r>
          </w:p>
        </w:tc>
      </w:tr>
      <w:tr>
        <w:tc>
          <w:tcPr>
            <w:tcW w:type="dxa" w:w="2736"/>
            <w:shd w:val="clear" w:fill="F4F7FB"/>
          </w:tcPr>
          <w:p>
            <w:r/>
            <w:r>
              <w:rPr>
                <w:rFonts w:ascii="Arial" w:hAnsi="Arial"/>
                <w:b w:val="0"/>
                <w:sz w:val="16"/>
              </w:rPr>
              <w:t>Delivery</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Some initiatives early-stage</w:t>
            </w:r>
          </w:p>
        </w:tc>
      </w:tr>
      <w:tr>
        <w:tc>
          <w:tcPr>
            <w:tcW w:type="dxa" w:w="2736"/>
          </w:tcPr>
          <w:p>
            <w:r/>
            <w:r>
              <w:rPr>
                <w:rFonts w:ascii="Arial" w:hAnsi="Arial"/>
                <w:b w:val="0"/>
                <w:sz w:val="16"/>
              </w:rPr>
              <w:t>Value</w:t>
            </w:r>
          </w:p>
        </w:tc>
        <w:tc>
          <w:tcPr>
            <w:tcW w:type="dxa" w:w="1440"/>
            <w:shd w:val="clear" w:fill="2E7D5B"/>
          </w:tcPr>
          <w:p>
            <w:pPr>
              <w:jc w:val="center"/>
            </w:pPr>
            <w:r/>
            <w:r>
              <w:rPr>
                <w:rFonts w:ascii="Arial" w:hAnsi="Arial"/>
                <w:b/>
                <w:color w:val="FFFFFF"/>
                <w:sz w:val="16"/>
              </w:rPr>
              <w:t>Green</w:t>
            </w:r>
          </w:p>
        </w:tc>
        <w:tc>
          <w:tcPr>
            <w:tcW w:type="dxa" w:w="7344"/>
          </w:tcPr>
          <w:p>
            <w:r/>
            <w:r>
              <w:rPr>
                <w:rFonts w:ascii="Arial" w:hAnsi="Arial"/>
                <w:b w:val="0"/>
                <w:sz w:val="16"/>
              </w:rPr>
              <w:t>Benefits tracking to plan</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next-phase funding</w:t>
            </w:r>
          </w:p>
        </w:tc>
      </w:tr>
    </w:tbl>
    <w:p>
      <w:pPr>
        <w:pStyle w:val="Heading2"/>
      </w:pPr>
      <w:r>
        <w:t>Notes &amp; Disclaimer</w:t>
      </w:r>
    </w:p>
    <w:p>
      <w:r>
        <w:rPr>
          <w:b w:val="0"/>
          <w:i/>
          <w:sz w:val="18"/>
        </w:rPr>
        <w:t>This resource is a professional finance management template, not accounting, tax, legal or financial advice. Calibrate frameworks, KPIs, thresholds and figures to your organisation and confirm accounting, tax and regulatory specifics against current applicable standards and law and professional counsel. Bracketed fields [like this] and sample figures are editable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