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CORPORATE GOVERNANCE CENTRE™</w:t>
      </w:r>
    </w:p>
    <w:p>
      <w:pPr>
        <w:jc w:val="center"/>
      </w:pPr>
      <w:r>
        <w:rPr>
          <w:b/>
          <w:color w:val="10243F"/>
          <w:sz w:val="48"/>
        </w:rPr>
        <w:t>Ethics &amp; Integrity Toolkit™</w:t>
      </w:r>
    </w:p>
    <w:p>
      <w:pPr>
        <w:jc w:val="center"/>
      </w:pPr>
      <w:r>
        <w:rPr>
          <w:color w:val="C97B2C"/>
          <w:sz w:val="26"/>
        </w:rPr>
        <w:t>Embed ethics, integrity and ethical culture</w:t>
      </w:r>
    </w:p>
    <w:p/>
    <w:p/>
    <w:p>
      <w:pPr>
        <w:jc w:val="center"/>
      </w:pPr>
      <w:r>
        <w:rPr>
          <w:color w:val="555555"/>
          <w:sz w:val="20"/>
        </w:rPr>
        <w:t>Board / Ethics Officer / Company Secretary  ·  Flagship Edition 2026</w:t>
      </w:r>
    </w:p>
    <w:p>
      <w:pPr>
        <w:jc w:val="center"/>
      </w:pPr>
      <w:r>
        <w:rPr>
          <w:i/>
          <w:color w:val="555555"/>
          <w:sz w:val="17"/>
        </w:rPr>
        <w:t>Nigeria-anchored: NCCG 2018 · FRCN · SEC · CBN · NAICOM · CAC · CAMA  ·  Aligned to OECD · IFC · King IV · ISO 37000</w:t>
      </w:r>
    </w:p>
    <w:p>
      <w:r>
        <w:br w:type="page"/>
      </w:r>
    </w:p>
    <w:p>
      <w:pPr>
        <w:pStyle w:val="Heading1"/>
      </w:pPr>
      <w:r>
        <w:t>1. Full Guide</w:t>
      </w:r>
    </w:p>
    <w:p>
      <w:r>
        <w:rPr>
          <w:b w:val="0"/>
          <w:i w:val="0"/>
          <w:sz w:val="20"/>
        </w:rPr>
        <w:t>This toolkit embeds ethics and integrity — code of conduct, conflicts, whistleblowing and anti-bribery — and supports the ethical culture and tone from the top expected under NCCG 2018 and King IV ethical-leadership outcomes.</w:t>
      </w:r>
    </w:p>
    <w:p>
      <w:pPr>
        <w:pStyle w:val="Heading2"/>
      </w:pPr>
      <w:r>
        <w:t>Operating lifecycle</w:t>
      </w:r>
    </w:p>
    <w:p>
      <w:pPr>
        <w:pStyle w:val="ListNumber"/>
      </w:pPr>
      <w:r>
        <w:rPr>
          <w:sz w:val="19"/>
        </w:rPr>
        <w:t>Set — adopt the code of ethics and conduct</w:t>
      </w:r>
    </w:p>
    <w:p>
      <w:pPr>
        <w:pStyle w:val="ListNumber"/>
      </w:pPr>
      <w:r>
        <w:rPr>
          <w:sz w:val="19"/>
        </w:rPr>
        <w:t>Declare — manage conflicts and related-party interests</w:t>
      </w:r>
    </w:p>
    <w:p>
      <w:pPr>
        <w:pStyle w:val="ListNumber"/>
      </w:pPr>
      <w:r>
        <w:rPr>
          <w:sz w:val="19"/>
        </w:rPr>
        <w:t>Speak up — operate whistleblowing arrangements</w:t>
      </w:r>
    </w:p>
    <w:p>
      <w:pPr>
        <w:pStyle w:val="ListNumber"/>
      </w:pPr>
      <w:r>
        <w:rPr>
          <w:sz w:val="19"/>
        </w:rPr>
        <w:t>Prevent — anti-bribery and corruption controls</w:t>
      </w:r>
    </w:p>
    <w:p>
      <w:pPr>
        <w:pStyle w:val="ListNumber"/>
      </w:pPr>
      <w:r>
        <w:rPr>
          <w:sz w:val="19"/>
        </w:rPr>
        <w:t>Sustain — train, monitor and report on ethics</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non-compliant</w:t>
            </w:r>
          </w:p>
        </w:tc>
        <w:tc>
          <w:tcPr>
            <w:tcW w:type="dxa" w:w="2232"/>
          </w:tcPr>
          <w:p>
            <w:r/>
            <w:r>
              <w:rPr>
                <w:rFonts w:ascii="Arial" w:hAnsi="Arial"/>
                <w:b w:val="0"/>
                <w:sz w:val="16"/>
              </w:rPr>
              <w:t>Basic, inconsistent</w:t>
            </w:r>
          </w:p>
        </w:tc>
        <w:tc>
          <w:tcPr>
            <w:tcW w:type="dxa" w:w="2232"/>
          </w:tcPr>
          <w:p>
            <w:r/>
            <w:r>
              <w:rPr>
                <w:rFonts w:ascii="Arial" w:hAnsi="Arial"/>
                <w:b w:val="0"/>
                <w:sz w:val="16"/>
              </w:rPr>
              <w:t>Code-aligned &amp; consistent</w:t>
            </w:r>
          </w:p>
        </w:tc>
        <w:tc>
          <w:tcPr>
            <w:tcW w:type="dxa" w:w="2232"/>
          </w:tcPr>
          <w:p>
            <w:r/>
            <w:r>
              <w:rPr>
                <w:rFonts w:ascii="Arial" w:hAnsi="Arial"/>
                <w:b w:val="0"/>
                <w:sz w:val="16"/>
              </w:rPr>
              <w:t>Measured &amp; assured</w:t>
            </w:r>
          </w:p>
        </w:tc>
        <w:tc>
          <w:tcPr>
            <w:tcW w:type="dxa" w:w="2232"/>
          </w:tcPr>
          <w:p>
            <w:r/>
            <w:r>
              <w:rPr>
                <w:rFonts w:ascii="Arial" w:hAnsi="Arial"/>
                <w:b w:val="0"/>
                <w:sz w:val="16"/>
              </w:rPr>
              <w:t>Leading-practice &amp; value-creating</w:t>
            </w:r>
          </w:p>
        </w:tc>
      </w:tr>
    </w:tbl>
    <w:p>
      <w:pPr>
        <w:pStyle w:val="Heading2"/>
      </w:pPr>
      <w:r>
        <w:t>Key components</w:t>
      </w:r>
    </w:p>
    <w:p>
      <w:pPr>
        <w:pStyle w:val="ListBullet"/>
      </w:pPr>
      <w:r>
        <w:rPr>
          <w:sz w:val="19"/>
        </w:rPr>
        <w:t>Code of ethics and conduct</w:t>
      </w:r>
    </w:p>
    <w:p>
      <w:pPr>
        <w:pStyle w:val="ListBullet"/>
      </w:pPr>
      <w:r>
        <w:rPr>
          <w:sz w:val="19"/>
        </w:rPr>
        <w:t>Conflicts of interest</w:t>
      </w:r>
    </w:p>
    <w:p>
      <w:pPr>
        <w:pStyle w:val="ListBullet"/>
      </w:pPr>
      <w:r>
        <w:rPr>
          <w:sz w:val="19"/>
        </w:rPr>
        <w:t>Whistleblowing</w:t>
      </w:r>
    </w:p>
    <w:p>
      <w:pPr>
        <w:pStyle w:val="ListBullet"/>
      </w:pPr>
      <w:r>
        <w:rPr>
          <w:sz w:val="19"/>
        </w:rPr>
        <w:t>Anti-bribery and corruption</w:t>
      </w:r>
    </w:p>
    <w:p>
      <w:pPr>
        <w:pStyle w:val="ListBullet"/>
      </w:pPr>
      <w:r>
        <w:rPr>
          <w:sz w:val="19"/>
        </w:rPr>
        <w:t>Ethics training</w:t>
      </w:r>
    </w:p>
    <w:p>
      <w:pPr>
        <w:pStyle w:val="ListBullet"/>
      </w:pPr>
      <w:r>
        <w:rPr>
          <w:sz w:val="19"/>
        </w:rPr>
        <w:t>Ethics monitoring</w:t>
      </w:r>
    </w:p>
    <w:p>
      <w:pPr>
        <w:pStyle w:val="Heading1"/>
      </w:pPr>
      <w:r>
        <w:t>2. Templates &amp; Contents</w:t>
      </w:r>
    </w:p>
    <w:p>
      <w:pPr>
        <w:pStyle w:val="Heading3"/>
      </w:pPr>
      <w:r>
        <w:t>Code of ethics &amp; conduct template</w:t>
      </w:r>
    </w:p>
    <w:p>
      <w:r>
        <w:rPr>
          <w:b w:val="0"/>
          <w:i w:val="0"/>
          <w:sz w:val="19"/>
        </w:rPr>
        <w:t>Values, expected behaviours and obligations.</w:t>
      </w:r>
    </w:p>
    <w:p>
      <w:pPr>
        <w:pStyle w:val="Heading3"/>
      </w:pPr>
      <w:r>
        <w:t>Conflict of interest policy &amp; register</w:t>
      </w:r>
    </w:p>
    <w:p>
      <w:r>
        <w:rPr>
          <w:b w:val="0"/>
          <w:i w:val="0"/>
          <w:sz w:val="19"/>
        </w:rPr>
        <w:t>Identify, declare and manage conflicts (register supplied as a working XLSX).</w:t>
      </w:r>
    </w:p>
    <w:p>
      <w:pPr>
        <w:pStyle w:val="Heading3"/>
      </w:pPr>
      <w:r>
        <w:t>Whistleblowing policy &amp; case register</w:t>
      </w:r>
    </w:p>
    <w:p>
      <w:r>
        <w:rPr>
          <w:b w:val="0"/>
          <w:i w:val="0"/>
          <w:sz w:val="19"/>
        </w:rPr>
        <w:t>Confidential reporting and case handling.</w:t>
      </w:r>
    </w:p>
    <w:p>
      <w:pPr>
        <w:pStyle w:val="Heading3"/>
      </w:pPr>
      <w:r>
        <w:t>Anti-bribery &amp; corruption policy</w:t>
      </w:r>
    </w:p>
    <w:p>
      <w:r>
        <w:rPr>
          <w:b w:val="0"/>
          <w:i w:val="0"/>
          <w:sz w:val="19"/>
        </w:rPr>
        <w:t>Prohibitions, gifts/hospitality and controls.</w:t>
      </w:r>
    </w:p>
    <w:p>
      <w:pPr>
        <w:pStyle w:val="Heading3"/>
      </w:pPr>
      <w:r>
        <w:t>Gifts &amp; hospitality register</w:t>
      </w:r>
    </w:p>
    <w:p>
      <w:r>
        <w:rPr>
          <w:b w:val="0"/>
          <w:i w:val="0"/>
          <w:sz w:val="19"/>
        </w:rPr>
        <w:t>Record and monitor gifts and hospitality.</w:t>
      </w:r>
    </w:p>
    <w:p>
      <w:pPr>
        <w:pStyle w:val="Heading1"/>
      </w:pPr>
      <w:r>
        <w:t>3. Checklists</w:t>
      </w:r>
    </w:p>
    <w:p>
      <w:pPr>
        <w:ind w:left="288"/>
      </w:pPr>
      <w:r>
        <w:rPr>
          <w:sz w:val="19"/>
        </w:rPr>
        <w:t>☐  Code of ethics and conduct adopted</w:t>
      </w:r>
    </w:p>
    <w:p>
      <w:pPr>
        <w:ind w:left="288"/>
      </w:pPr>
      <w:r>
        <w:rPr>
          <w:sz w:val="19"/>
        </w:rPr>
        <w:t>☐  Conflicts declared and managed (register maintained)</w:t>
      </w:r>
    </w:p>
    <w:p>
      <w:pPr>
        <w:ind w:left="288"/>
      </w:pPr>
      <w:r>
        <w:rPr>
          <w:sz w:val="19"/>
        </w:rPr>
        <w:t>☐  Whistleblowing arrangements operating</w:t>
      </w:r>
    </w:p>
    <w:p>
      <w:pPr>
        <w:ind w:left="288"/>
      </w:pPr>
      <w:r>
        <w:rPr>
          <w:sz w:val="19"/>
        </w:rPr>
        <w:t>☐  Anti-bribery controls in place</w:t>
      </w:r>
    </w:p>
    <w:p>
      <w:pPr>
        <w:ind w:left="288"/>
      </w:pPr>
      <w:r>
        <w:rPr>
          <w:sz w:val="19"/>
        </w:rPr>
        <w:t>☐  Gifts and hospitality recorded</w:t>
      </w:r>
    </w:p>
    <w:p>
      <w:pPr>
        <w:ind w:left="288"/>
      </w:pPr>
      <w:r>
        <w:rPr>
          <w:sz w:val="19"/>
        </w:rPr>
        <w:t>☐  Ethics training delivered</w:t>
      </w:r>
    </w:p>
    <w:p>
      <w:pPr>
        <w:ind w:left="288"/>
      </w:pPr>
      <w:r>
        <w:rPr>
          <w:sz w:val="19"/>
        </w:rPr>
        <w:t>☐  Ethics monitored and reported to the board</w:t>
      </w:r>
    </w:p>
    <w:p>
      <w:pPr>
        <w:pStyle w:val="Heading2"/>
      </w:pPr>
      <w:r>
        <w:t>Governance Structure</w:t>
      </w:r>
    </w:p>
    <w:p>
      <w:r>
        <w:rPr>
          <w:b w:val="0"/>
          <w:i w:val="0"/>
          <w:sz w:val="20"/>
        </w:rPr>
        <w:t>Governance operates under clear board accountability, aligned to NCCG 2018 and CAMA:</w:t>
      </w:r>
    </w:p>
    <w:tbl>
      <w:tblPr>
        <w:tblStyle w:val="TableGrid"/>
        <w:tblW w:type="auto" w:w="0"/>
        <w:jc w:val="center"/>
        <w:tblLook w:firstColumn="1" w:firstRow="1" w:lastColumn="0" w:lastRow="0" w:noHBand="0" w:noVBand="1" w:val="04A0"/>
      </w:tblPr>
      <w:tblGrid>
        <w:gridCol w:w="4896"/>
        <w:gridCol w:w="4896"/>
      </w:tblGrid>
      <w:tr>
        <w:tc>
          <w:tcPr>
            <w:tcW w:type="dxa" w:w="3168"/>
            <w:shd w:val="clear" w:fill="1B4D89"/>
          </w:tcPr>
          <w:p>
            <w:r/>
            <w:r>
              <w:rPr>
                <w:rFonts w:ascii="Arial" w:hAnsi="Arial"/>
                <w:b/>
                <w:color w:val="FFFFFF"/>
                <w:sz w:val="16"/>
              </w:rPr>
              <w:t>Layer</w:t>
            </w:r>
          </w:p>
        </w:tc>
        <w:tc>
          <w:tcPr>
            <w:tcW w:type="dxa" w:w="8352"/>
            <w:shd w:val="clear" w:fill="1B4D89"/>
          </w:tcPr>
          <w:p>
            <w:r/>
            <w:r>
              <w:rPr>
                <w:rFonts w:ascii="Arial" w:hAnsi="Arial"/>
                <w:b/>
                <w:color w:val="FFFFFF"/>
                <w:sz w:val="16"/>
              </w:rPr>
              <w:t>Role</w:t>
            </w:r>
          </w:p>
        </w:tc>
      </w:tr>
      <w:tr>
        <w:tc>
          <w:tcPr>
            <w:tcW w:type="dxa" w:w="3168"/>
          </w:tcPr>
          <w:p>
            <w:r/>
            <w:r>
              <w:rPr>
                <w:rFonts w:ascii="Arial" w:hAnsi="Arial"/>
                <w:b w:val="0"/>
                <w:sz w:val="16"/>
              </w:rPr>
              <w:t>Board</w:t>
            </w:r>
          </w:p>
        </w:tc>
        <w:tc>
          <w:tcPr>
            <w:tcW w:type="dxa" w:w="8352"/>
          </w:tcPr>
          <w:p>
            <w:r/>
            <w:r>
              <w:rPr>
                <w:rFonts w:ascii="Arial" w:hAnsi="Arial"/>
                <w:b w:val="0"/>
                <w:sz w:val="16"/>
              </w:rPr>
              <w:t>Accountable for governance; sets direction, approves policy, oversees</w:t>
            </w:r>
          </w:p>
        </w:tc>
      </w:tr>
      <w:tr>
        <w:tc>
          <w:tcPr>
            <w:tcW w:type="dxa" w:w="3168"/>
            <w:shd w:val="clear" w:fill="F4F7FB"/>
          </w:tcPr>
          <w:p>
            <w:r/>
            <w:r>
              <w:rPr>
                <w:rFonts w:ascii="Arial" w:hAnsi="Arial"/>
                <w:b w:val="0"/>
                <w:sz w:val="16"/>
              </w:rPr>
              <w:t>Board committees</w:t>
            </w:r>
          </w:p>
        </w:tc>
        <w:tc>
          <w:tcPr>
            <w:tcW w:type="dxa" w:w="8352"/>
            <w:shd w:val="clear" w:fill="F4F7FB"/>
          </w:tcPr>
          <w:p>
            <w:r/>
            <w:r>
              <w:rPr>
                <w:rFonts w:ascii="Arial" w:hAnsi="Arial"/>
                <w:b w:val="0"/>
                <w:sz w:val="16"/>
              </w:rPr>
              <w:t>Audit, risk, remuneration, nomination/governance — focused oversight</w:t>
            </w:r>
          </w:p>
        </w:tc>
      </w:tr>
      <w:tr>
        <w:tc>
          <w:tcPr>
            <w:tcW w:type="dxa" w:w="3168"/>
          </w:tcPr>
          <w:p>
            <w:r/>
            <w:r>
              <w:rPr>
                <w:rFonts w:ascii="Arial" w:hAnsi="Arial"/>
                <w:b w:val="0"/>
                <w:sz w:val="16"/>
              </w:rPr>
              <w:t>Chair</w:t>
            </w:r>
          </w:p>
        </w:tc>
        <w:tc>
          <w:tcPr>
            <w:tcW w:type="dxa" w:w="8352"/>
          </w:tcPr>
          <w:p>
            <w:r/>
            <w:r>
              <w:rPr>
                <w:rFonts w:ascii="Arial" w:hAnsi="Arial"/>
                <w:b w:val="0"/>
                <w:sz w:val="16"/>
              </w:rPr>
              <w:t>Leads the board; ensures effectiveness</w:t>
            </w:r>
          </w:p>
        </w:tc>
      </w:tr>
      <w:tr>
        <w:tc>
          <w:tcPr>
            <w:tcW w:type="dxa" w:w="3168"/>
            <w:shd w:val="clear" w:fill="F4F7FB"/>
          </w:tcPr>
          <w:p>
            <w:r/>
            <w:r>
              <w:rPr>
                <w:rFonts w:ascii="Arial" w:hAnsi="Arial"/>
                <w:b w:val="0"/>
                <w:sz w:val="16"/>
              </w:rPr>
              <w:t>Company secretary</w:t>
            </w:r>
          </w:p>
        </w:tc>
        <w:tc>
          <w:tcPr>
            <w:tcW w:type="dxa" w:w="8352"/>
            <w:shd w:val="clear" w:fill="F4F7FB"/>
          </w:tcPr>
          <w:p>
            <w:r/>
            <w:r>
              <w:rPr>
                <w:rFonts w:ascii="Arial" w:hAnsi="Arial"/>
                <w:b w:val="0"/>
                <w:sz w:val="16"/>
              </w:rPr>
              <w:t>Enables governance; advises the board; maintains records</w:t>
            </w:r>
          </w:p>
        </w:tc>
      </w:tr>
      <w:tr>
        <w:tc>
          <w:tcPr>
            <w:tcW w:type="dxa" w:w="3168"/>
          </w:tcPr>
          <w:p>
            <w:r/>
            <w:r>
              <w:rPr>
                <w:rFonts w:ascii="Arial" w:hAnsi="Arial"/>
                <w:b w:val="0"/>
                <w:sz w:val="16"/>
              </w:rPr>
              <w:t>Management</w:t>
            </w:r>
          </w:p>
        </w:tc>
        <w:tc>
          <w:tcPr>
            <w:tcW w:type="dxa" w:w="8352"/>
          </w:tcPr>
          <w:p>
            <w:r/>
            <w:r>
              <w:rPr>
                <w:rFonts w:ascii="Arial" w:hAnsi="Arial"/>
                <w:b w:val="0"/>
                <w:sz w:val="16"/>
              </w:rPr>
              <w:t>Implements; provides information and assurance</w:t>
            </w:r>
          </w:p>
        </w:tc>
      </w:tr>
      <w:tr>
        <w:tc>
          <w:tcPr>
            <w:tcW w:type="dxa" w:w="3168"/>
            <w:shd w:val="clear" w:fill="F4F7FB"/>
          </w:tcPr>
          <w:p>
            <w:r/>
            <w:r>
              <w:rPr>
                <w:rFonts w:ascii="Arial" w:hAnsi="Arial"/>
                <w:b w:val="0"/>
                <w:sz w:val="16"/>
              </w:rPr>
              <w:t>Internal audit</w:t>
            </w:r>
          </w:p>
        </w:tc>
        <w:tc>
          <w:tcPr>
            <w:tcW w:type="dxa" w:w="8352"/>
            <w:shd w:val="clear" w:fill="F4F7FB"/>
          </w:tcPr>
          <w:p>
            <w:r/>
            <w:r>
              <w:rPr>
                <w:rFonts w:ascii="Arial" w:hAnsi="Arial"/>
                <w:b w:val="0"/>
                <w:sz w:val="16"/>
              </w:rPr>
              <w:t>Independent assurance over governance, risk and control</w:t>
            </w:r>
          </w:p>
        </w:tc>
      </w:tr>
    </w:tbl>
    <w:p>
      <w:pPr>
        <w:pStyle w:val="Heading2"/>
      </w:pPr>
      <w:r>
        <w:t>Reporting Template</w:t>
      </w:r>
    </w:p>
    <w:p>
      <w:r>
        <w:rPr>
          <w:b w:val="0"/>
          <w:i w:val="0"/>
          <w:sz w:val="19"/>
        </w:rPr>
        <w:t>Standard report: executive summary · status vs target (RAG) · key metrics · issues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880"/>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2880"/>
          </w:tcPr>
          <w:p>
            <w:r/>
            <w:r>
              <w:rPr>
                <w:rFonts w:ascii="Arial" w:hAnsi="Arial"/>
                <w:b w:val="0"/>
                <w:sz w:val="16"/>
              </w:rPr>
              <w:t>Code attestation</w:t>
            </w:r>
          </w:p>
        </w:tc>
        <w:tc>
          <w:tcPr>
            <w:tcW w:type="dxa" w:w="1440"/>
          </w:tcPr>
          <w:p>
            <w:r/>
            <w:r>
              <w:rPr>
                <w:rFonts w:ascii="Arial" w:hAnsi="Arial"/>
                <w:b w:val="0"/>
                <w:sz w:val="16"/>
              </w:rPr>
              <w:t>82%</w:t>
            </w:r>
          </w:p>
        </w:tc>
        <w:tc>
          <w:tcPr>
            <w:tcW w:type="dxa" w:w="1728"/>
          </w:tcPr>
          <w:p>
            <w:r/>
            <w:r>
              <w:rPr>
                <w:rFonts w:ascii="Arial" w:hAnsi="Arial"/>
                <w:b w:val="0"/>
                <w:sz w:val="16"/>
              </w:rPr>
              <w:t>≥95%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Complete attestations</w:t>
            </w:r>
          </w:p>
        </w:tc>
      </w:tr>
      <w:tr>
        <w:tc>
          <w:tcPr>
            <w:tcW w:type="dxa" w:w="2880"/>
            <w:shd w:val="clear" w:fill="F4F7FB"/>
          </w:tcPr>
          <w:p>
            <w:r/>
            <w:r>
              <w:rPr>
                <w:rFonts w:ascii="Arial" w:hAnsi="Arial"/>
                <w:b w:val="0"/>
                <w:sz w:val="16"/>
              </w:rPr>
              <w:t>Conflicts declared</w:t>
            </w:r>
          </w:p>
        </w:tc>
        <w:tc>
          <w:tcPr>
            <w:tcW w:type="dxa" w:w="1440"/>
            <w:shd w:val="clear" w:fill="F4F7FB"/>
          </w:tcPr>
          <w:p>
            <w:r/>
            <w:r>
              <w:rPr>
                <w:rFonts w:ascii="Arial" w:hAnsi="Arial"/>
                <w:b w:val="0"/>
                <w:sz w:val="16"/>
              </w:rPr>
              <w:t>100%</w:t>
            </w:r>
          </w:p>
        </w:tc>
        <w:tc>
          <w:tcPr>
            <w:tcW w:type="dxa" w:w="1728"/>
            <w:shd w:val="clear" w:fill="F4F7FB"/>
          </w:tcPr>
          <w:p>
            <w:r/>
            <w:r>
              <w:rPr>
                <w:rFonts w:ascii="Arial" w:hAnsi="Arial"/>
                <w:b w:val="0"/>
                <w:sz w:val="16"/>
              </w:rPr>
              <w:t>100%</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r>
        <w:tc>
          <w:tcPr>
            <w:tcW w:type="dxa" w:w="2880"/>
          </w:tcPr>
          <w:p>
            <w:r/>
            <w:r>
              <w:rPr>
                <w:rFonts w:ascii="Arial" w:hAnsi="Arial"/>
                <w:b w:val="0"/>
                <w:sz w:val="16"/>
              </w:rPr>
              <w:t>Whistleblowing resolution</w:t>
            </w:r>
          </w:p>
        </w:tc>
        <w:tc>
          <w:tcPr>
            <w:tcW w:type="dxa" w:w="1440"/>
          </w:tcPr>
          <w:p>
            <w:r/>
            <w:r>
              <w:rPr>
                <w:rFonts w:ascii="Arial" w:hAnsi="Arial"/>
                <w:b w:val="0"/>
                <w:sz w:val="16"/>
              </w:rPr>
              <w:t>75%</w:t>
            </w:r>
          </w:p>
        </w:tc>
        <w:tc>
          <w:tcPr>
            <w:tcW w:type="dxa" w:w="1728"/>
          </w:tcPr>
          <w:p>
            <w:r/>
            <w:r>
              <w:rPr>
                <w:rFonts w:ascii="Arial" w:hAnsi="Arial"/>
                <w:b w:val="0"/>
                <w:sz w:val="16"/>
              </w:rPr>
              <w:t>≥90%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Improve case handling</w:t>
            </w:r>
          </w:p>
        </w:tc>
      </w:tr>
      <w:tr>
        <w:tc>
          <w:tcPr>
            <w:tcW w:type="dxa" w:w="2880"/>
            <w:shd w:val="clear" w:fill="F4F7FB"/>
          </w:tcPr>
          <w:p>
            <w:r/>
            <w:r>
              <w:rPr>
                <w:rFonts w:ascii="Arial" w:hAnsi="Arial"/>
                <w:b w:val="0"/>
                <w:sz w:val="16"/>
              </w:rPr>
              <w:t>ABC controls</w:t>
            </w:r>
          </w:p>
        </w:tc>
        <w:tc>
          <w:tcPr>
            <w:tcW w:type="dxa" w:w="1440"/>
            <w:shd w:val="clear" w:fill="F4F7FB"/>
          </w:tcPr>
          <w:p>
            <w:r/>
            <w:r>
              <w:rPr>
                <w:rFonts w:ascii="Arial" w:hAnsi="Arial"/>
                <w:b w:val="0"/>
                <w:sz w:val="16"/>
              </w:rPr>
              <w:t>In place</w:t>
            </w:r>
          </w:p>
        </w:tc>
        <w:tc>
          <w:tcPr>
            <w:tcW w:type="dxa" w:w="1728"/>
            <w:shd w:val="clear" w:fill="F4F7FB"/>
          </w:tcPr>
          <w:p>
            <w:r/>
            <w:r>
              <w:rPr>
                <w:rFonts w:ascii="Arial" w:hAnsi="Arial"/>
                <w:b w:val="0"/>
                <w:sz w:val="16"/>
              </w:rPr>
              <w:t>In place</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2"/>
      </w:pPr>
      <w:r>
        <w:t>Board Reporting Section</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Ethics &amp; integrity</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Strong framework; attestation and case handling to improve</w:t>
            </w:r>
          </w:p>
        </w:tc>
      </w:tr>
      <w:tr>
        <w:tc>
          <w:tcPr>
            <w:tcW w:type="dxa" w:w="2736"/>
            <w:shd w:val="clear" w:fill="F4F7FB"/>
          </w:tcPr>
          <w:p>
            <w:r/>
            <w:r>
              <w:rPr>
                <w:rFonts w:ascii="Arial" w:hAnsi="Arial"/>
                <w:b w:val="0"/>
                <w:sz w:val="16"/>
              </w:rPr>
              <w:t>Tone from the top</w:t>
            </w:r>
          </w:p>
        </w:tc>
        <w:tc>
          <w:tcPr>
            <w:tcW w:type="dxa" w:w="1440"/>
            <w:shd w:val="clear" w:fill="F4F7FB"/>
            <w:shd w:val="clear" w:fill="2E7D5B"/>
          </w:tcPr>
          <w:p>
            <w:pPr>
              <w:jc w:val="center"/>
            </w:pPr>
            <w:r/>
            <w:r>
              <w:rPr>
                <w:rFonts w:ascii="Arial" w:hAnsi="Arial"/>
                <w:b/>
                <w:color w:val="FFFFFF"/>
                <w:sz w:val="16"/>
              </w:rPr>
              <w:t>Green</w:t>
            </w:r>
          </w:p>
        </w:tc>
        <w:tc>
          <w:tcPr>
            <w:tcW w:type="dxa" w:w="7344"/>
            <w:shd w:val="clear" w:fill="F4F7FB"/>
          </w:tcPr>
          <w:p>
            <w:r/>
            <w:r>
              <w:rPr>
                <w:rFonts w:ascii="Arial" w:hAnsi="Arial"/>
                <w:b w:val="0"/>
                <w:sz w:val="16"/>
              </w:rPr>
              <w:t>Board actively sets the ethical tone</w:t>
            </w:r>
          </w:p>
        </w:tc>
      </w:tr>
      <w:tr>
        <w:tc>
          <w:tcPr>
            <w:tcW w:type="dxa" w:w="2736"/>
          </w:tcPr>
          <w:p>
            <w:r/>
            <w:r>
              <w:rPr>
                <w:rFonts w:ascii="Arial" w:hAnsi="Arial"/>
                <w:b w:val="0"/>
                <w:sz w:val="16"/>
              </w:rPr>
              <w:t>Risk</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Whistleblowing resolution below target</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ethics attestation drive</w:t>
            </w:r>
          </w:p>
        </w:tc>
      </w:tr>
    </w:tbl>
    <w:p>
      <w:pPr>
        <w:pStyle w:val="Heading2"/>
      </w:pPr>
      <w:r>
        <w:t>Notes &amp; Disclaimer</w:t>
      </w:r>
    </w:p>
    <w:p>
      <w:r>
        <w:rPr>
          <w:b w:val="0"/>
          <w:i/>
          <w:sz w:val="18"/>
        </w:rPr>
        <w:t>This resource is a professional governance template, not legal advice. It is anchored to the NCCG 2018 and Nigeria's regulatory framework (FRCN, SEC, CBN, NAICOM, CAC, CAMA) with international alignment (OECD, IFC, King IV, ISO 37000), referenced by name. Organisations must apply the current text of each applicable code, law and regulator guideline and take professional counsel. Bracketed fields [like this] are placeholders to complete.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