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left"/>
      </w:pPr>
      <w:r>
        <w:rPr>
          <w:b/>
          <w:color w:val="785A28"/>
          <w:sz w:val="18"/>
        </w:rPr>
        <w:t>OUTLIERS INTERNAL CONTROL CENTRE™</w:t>
      </w:r>
    </w:p>
    <w:p>
      <w:r>
        <w:rPr>
          <w:b/>
          <w:sz w:val="44"/>
        </w:rPr>
        <w:t>Process Control SOP Template</w:t>
      </w:r>
    </w:p>
    <w:p>
      <w:r>
        <w:rPr>
          <w:color w:val="5A5A5A"/>
          <w:sz w:val="20"/>
        </w:rPr>
        <w:t>Standard Operating Procedure · Entitlement: Free · Audience: Boards, auditors, finance, risk &amp; compliance</w:t>
      </w:r>
    </w:p>
    <w:p/>
    <w:p>
      <w:r>
        <w:t>SOP — Process Control SOP Template.</w:t>
      </w:r>
    </w:p>
    <w:p>
      <w:r/>
      <w:r>
        <w:rPr>
          <w:b/>
          <w:color w:val="0B1220"/>
          <w:sz w:val="26"/>
        </w:rPr>
        <w:t>Purpose</w:t>
      </w:r>
    </w:p>
    <w:p>
      <w:r>
        <w:t>This standard operating procedure formalises the organisation's approach to “Process Control SOP Template”. It is aligned to COSO Internal Control – Integrated Framework, the IIA Three Lines Model, ISO 31000/37301 and Nigerian regulatory expectations (FRCN, NCCG 2018, SEC, CBN, NAICOM where applicable).</w:t>
      </w:r>
    </w:p>
    <w:p>
      <w:r/>
      <w:r>
        <w:rPr>
          <w:b/>
          <w:color w:val="0B1220"/>
          <w:sz w:val="26"/>
        </w:rPr>
        <w:t>Scope</w:t>
      </w:r>
    </w:p>
    <w:p>
      <w:r>
        <w:t>Applies to all business units, processes, systems and third parties that originate, process, record, approve or report financial and operational transactions. Covers preventive, detective and corrective controls across the end-to-end process lifecycle.</w:t>
      </w:r>
    </w:p>
    <w:p>
      <w:r/>
      <w:r>
        <w:rPr>
          <w:b/>
          <w:color w:val="0B1220"/>
          <w:sz w:val="26"/>
        </w:rPr>
        <w:t>Roles &amp; Responsibilities</w:t>
      </w:r>
    </w:p>
    <w:p>
      <w:r>
        <w:t>Board / Audit Committee: oversight and assurance. Executive Management: design and implementation. Process Owners: day-to-day execution. Internal Audit: independent assurance. Risk &amp; Compliance: monitoring and reporting. Control Owners: documented attestation.</w:t>
      </w:r>
    </w:p>
    <w:p>
      <w:r/>
      <w:r>
        <w:rPr>
          <w:b/>
          <w:color w:val="0B1220"/>
          <w:sz w:val="26"/>
        </w:rPr>
        <w:t>Key Controls / Requirements</w:t>
      </w:r>
    </w:p>
    <w:p>
      <w:r>
        <w:t>1. Documented control objectives mapped to material risks.</w:t>
      </w:r>
    </w:p>
    <w:p>
      <w:r>
        <w:t>2. Segregation of incompatible duties across initiation, approval, recording and reconciliation.</w:t>
      </w:r>
    </w:p>
    <w:p>
      <w:r>
        <w:t>3. Delegation of authority with monetary and non-monetary limits.</w:t>
      </w:r>
    </w:p>
    <w:p>
      <w:r>
        <w:t>4. Independent reconciliations performed and reviewed on a defined frequency.</w:t>
      </w:r>
    </w:p>
    <w:p>
      <w:r>
        <w:t>5. Exception reporting with documented investigation and resolution.</w:t>
      </w:r>
    </w:p>
    <w:p>
      <w:r>
        <w:t>6. Periodic control self-assessment with management sign-off.</w:t>
      </w:r>
    </w:p>
    <w:p>
      <w:r>
        <w:t>7. Independent testing by internal audit, including walkthroughs and re-performance.</w:t>
      </w:r>
    </w:p>
    <w:p>
      <w:r>
        <w:t>8. Remediation tracking with owners, due dates and verification.</w:t>
      </w:r>
    </w:p>
    <w:p>
      <w:r>
        <w:t>9. Regulatory and policy compliance attestations retained as evidence.</w:t>
      </w:r>
    </w:p>
    <w:p>
      <w:r>
        <w:t>10. Annual review and refresh of this document by the accountable owner.</w:t>
      </w:r>
    </w:p>
    <w:p>
      <w:r/>
      <w:r>
        <w:rPr>
          <w:b/>
          <w:color w:val="0B1220"/>
          <w:sz w:val="26"/>
        </w:rPr>
        <w:t>How to Use</w:t>
      </w:r>
    </w:p>
    <w:p>
      <w:r>
        <w:t>Step 1 — Read the document in full and confirm scope alignment.</w:t>
      </w:r>
    </w:p>
    <w:p>
      <w:r>
        <w:t>Step 2 — Customise placeholders (entity name, thresholds, owners, frequencies) to your organisation.</w:t>
      </w:r>
    </w:p>
    <w:p>
      <w:r>
        <w:t>Step 3 — Obtain executive endorsement and board / committee approval where required.</w:t>
      </w:r>
    </w:p>
    <w:p>
      <w:r>
        <w:t>Step 4 — Communicate, train and embed in operating procedures.</w:t>
      </w:r>
    </w:p>
    <w:p>
      <w:r>
        <w:t>Step 5 — Monitor compliance via the Outliers Control KPI Dashboard and report quarterly to the Audit Committee.</w:t>
      </w:r>
    </w:p>
    <w:p>
      <w:r/>
      <w:r>
        <w:rPr>
          <w:b/>
          <w:color w:val="0B1220"/>
          <w:sz w:val="26"/>
        </w:rPr>
        <w:t>Evidence &amp; Documentation Standards</w:t>
      </w:r>
    </w:p>
    <w:p>
      <w:r>
        <w:t>All control execution must be evidenced contemporaneously. Evidence includes: signed checklists, system logs, reconciliation statements, approval records, exception logs, attestation forms and meeting minutes. Retention: minimum 7 years or as required by applicable regulation.</w:t>
      </w:r>
    </w:p>
    <w:p>
      <w:r/>
      <w:r>
        <w:rPr>
          <w:b/>
          <w:color w:val="0B1220"/>
          <w:sz w:val="26"/>
        </w:rPr>
        <w:t>Linked Frameworks &amp; Assessments</w:t>
      </w:r>
    </w:p>
    <w:p>
      <w:r>
        <w:t>Primary framework: fw_operational_controls. Diagnostic assessment: asm_operational_controls. Advisory service: svc_process_review. Use the Outliers Internal Control Assessment to baseline maturity, then run the Outliers Control Excellence Certification pathway to close gaps.</w:t>
      </w:r>
    </w:p>
    <w:p>
      <w:r/>
      <w:r>
        <w:rPr>
          <w:b/>
          <w:color w:val="0B1220"/>
          <w:sz w:val="26"/>
        </w:rPr>
        <w:t>Review &amp; Version Control</w:t>
      </w:r>
    </w:p>
    <w:p>
      <w:r>
        <w:t>Owner: Head of Internal Control. Approval: Audit Committee. Frequency: annual or upon material change. Document classification: Internal. Issue date: 2026-06-27. Version: 1.0.</w:t>
      </w:r>
    </w:p>
    <w:p>
      <w:r>
        <w:rPr>
          <w:i/>
          <w:color w:val="6E6E6E"/>
          <w:sz w:val="16"/>
        </w:rPr>
        <w:t>© Outliers Professionals — Internal Control Centre™. Provided for licensed use within the purchasing organisation. Not for redistribution.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