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Annual Board Work Plan</w:t>
      </w:r>
    </w:p>
    <w:p>
      <w:pPr>
        <w:jc w:val="center"/>
      </w:pPr>
      <w:r>
        <w:rPr>
          <w:color w:val="C97B2C"/>
          <w:sz w:val="26"/>
        </w:rPr>
        <w:t>The board's planned work across the year</w:t>
      </w:r>
    </w:p>
    <w:p/>
    <w:p/>
    <w:p>
      <w:pPr>
        <w:jc w:val="center"/>
      </w:pPr>
      <w:r>
        <w:rPr>
          <w:color w:val="555555"/>
          <w:sz w:val="20"/>
        </w:rPr>
        <w:t>Board / Chair / Company Secretary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This work plan maps the board's recurring and one-off agenda items across the year so that all responsibilities are discharged. Items and timing are editable.</w:t>
      </w:r>
    </w:p>
    <w:p>
      <w:pPr>
        <w:pStyle w:val="Heading1"/>
      </w:pPr>
      <w:r>
        <w:t>2. Work Plan by Quarter (example)</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1296"/>
            <w:shd w:val="clear" w:fill="1B4D89"/>
          </w:tcPr>
          <w:p>
            <w:r/>
            <w:r>
              <w:rPr>
                <w:rFonts w:ascii="Arial" w:hAnsi="Arial"/>
                <w:b/>
                <w:color w:val="FFFFFF"/>
                <w:sz w:val="16"/>
              </w:rPr>
              <w:t>Quarter</w:t>
            </w:r>
          </w:p>
        </w:tc>
        <w:tc>
          <w:tcPr>
            <w:tcW w:type="dxa" w:w="2880"/>
            <w:shd w:val="clear" w:fill="1B4D89"/>
          </w:tcPr>
          <w:p>
            <w:r/>
            <w:r>
              <w:rPr>
                <w:rFonts w:ascii="Arial" w:hAnsi="Arial"/>
                <w:b/>
                <w:color w:val="FFFFFF"/>
                <w:sz w:val="16"/>
              </w:rPr>
              <w:t>Strategy &amp; Performance</w:t>
            </w:r>
          </w:p>
        </w:tc>
        <w:tc>
          <w:tcPr>
            <w:tcW w:type="dxa" w:w="2592"/>
            <w:shd w:val="clear" w:fill="1B4D89"/>
          </w:tcPr>
          <w:p>
            <w:r/>
            <w:r>
              <w:rPr>
                <w:rFonts w:ascii="Arial" w:hAnsi="Arial"/>
                <w:b/>
                <w:color w:val="FFFFFF"/>
                <w:sz w:val="16"/>
              </w:rPr>
              <w:t>Risk &amp; Controls</w:t>
            </w:r>
          </w:p>
        </w:tc>
        <w:tc>
          <w:tcPr>
            <w:tcW w:type="dxa" w:w="2448"/>
            <w:shd w:val="clear" w:fill="1B4D89"/>
          </w:tcPr>
          <w:p>
            <w:r/>
            <w:r>
              <w:rPr>
                <w:rFonts w:ascii="Arial" w:hAnsi="Arial"/>
                <w:b/>
                <w:color w:val="FFFFFF"/>
                <w:sz w:val="16"/>
              </w:rPr>
              <w:t>Finance</w:t>
            </w:r>
          </w:p>
        </w:tc>
        <w:tc>
          <w:tcPr>
            <w:tcW w:type="dxa" w:w="2304"/>
            <w:shd w:val="clear" w:fill="1B4D89"/>
          </w:tcPr>
          <w:p>
            <w:r/>
            <w:r>
              <w:rPr>
                <w:rFonts w:ascii="Arial" w:hAnsi="Arial"/>
                <w:b/>
                <w:color w:val="FFFFFF"/>
                <w:sz w:val="16"/>
              </w:rPr>
              <w:t>People &amp; Governance</w:t>
            </w:r>
          </w:p>
        </w:tc>
      </w:tr>
      <w:tr>
        <w:tc>
          <w:tcPr>
            <w:tcW w:type="dxa" w:w="1296"/>
          </w:tcPr>
          <w:p>
            <w:r/>
            <w:r>
              <w:rPr>
                <w:rFonts w:ascii="Arial" w:hAnsi="Arial"/>
                <w:b w:val="0"/>
                <w:sz w:val="16"/>
              </w:rPr>
              <w:t>Q1</w:t>
            </w:r>
          </w:p>
        </w:tc>
        <w:tc>
          <w:tcPr>
            <w:tcW w:type="dxa" w:w="2880"/>
          </w:tcPr>
          <w:p>
            <w:r/>
            <w:r>
              <w:rPr>
                <w:rFonts w:ascii="Arial" w:hAnsi="Arial"/>
                <w:b w:val="0"/>
                <w:sz w:val="16"/>
              </w:rPr>
              <w:t>Strategy review</w:t>
            </w:r>
          </w:p>
        </w:tc>
        <w:tc>
          <w:tcPr>
            <w:tcW w:type="dxa" w:w="2592"/>
          </w:tcPr>
          <w:p>
            <w:r/>
            <w:r>
              <w:rPr>
                <w:rFonts w:ascii="Arial" w:hAnsi="Arial"/>
                <w:b w:val="0"/>
                <w:sz w:val="16"/>
              </w:rPr>
              <w:t>Risk appetite review</w:t>
            </w:r>
          </w:p>
        </w:tc>
        <w:tc>
          <w:tcPr>
            <w:tcW w:type="dxa" w:w="2448"/>
          </w:tcPr>
          <w:p>
            <w:r/>
            <w:r>
              <w:rPr>
                <w:rFonts w:ascii="Arial" w:hAnsi="Arial"/>
                <w:b w:val="0"/>
                <w:sz w:val="16"/>
              </w:rPr>
              <w:t>Budget approval</w:t>
            </w:r>
          </w:p>
        </w:tc>
        <w:tc>
          <w:tcPr>
            <w:tcW w:type="dxa" w:w="2304"/>
          </w:tcPr>
          <w:p>
            <w:r/>
            <w:r>
              <w:rPr>
                <w:rFonts w:ascii="Arial" w:hAnsi="Arial"/>
                <w:b w:val="0"/>
                <w:sz w:val="16"/>
              </w:rPr>
              <w:t>Board evaluation</w:t>
            </w:r>
          </w:p>
        </w:tc>
      </w:tr>
      <w:tr>
        <w:tc>
          <w:tcPr>
            <w:tcW w:type="dxa" w:w="1296"/>
            <w:shd w:val="clear" w:fill="F4F7FB"/>
          </w:tcPr>
          <w:p>
            <w:r/>
            <w:r>
              <w:rPr>
                <w:rFonts w:ascii="Arial" w:hAnsi="Arial"/>
                <w:b w:val="0"/>
                <w:sz w:val="16"/>
              </w:rPr>
              <w:t>Q2</w:t>
            </w:r>
          </w:p>
        </w:tc>
        <w:tc>
          <w:tcPr>
            <w:tcW w:type="dxa" w:w="2880"/>
            <w:shd w:val="clear" w:fill="F4F7FB"/>
          </w:tcPr>
          <w:p>
            <w:r/>
            <w:r>
              <w:rPr>
                <w:rFonts w:ascii="Arial" w:hAnsi="Arial"/>
                <w:b w:val="0"/>
                <w:sz w:val="16"/>
              </w:rPr>
              <w:t>Performance review</w:t>
            </w:r>
          </w:p>
        </w:tc>
        <w:tc>
          <w:tcPr>
            <w:tcW w:type="dxa" w:w="2592"/>
            <w:shd w:val="clear" w:fill="F4F7FB"/>
          </w:tcPr>
          <w:p>
            <w:r/>
            <w:r>
              <w:rPr>
                <w:rFonts w:ascii="Arial" w:hAnsi="Arial"/>
                <w:b w:val="0"/>
                <w:sz w:val="16"/>
              </w:rPr>
              <w:t>Principal-risk review</w:t>
            </w:r>
          </w:p>
        </w:tc>
        <w:tc>
          <w:tcPr>
            <w:tcW w:type="dxa" w:w="2448"/>
            <w:shd w:val="clear" w:fill="F4F7FB"/>
          </w:tcPr>
          <w:p>
            <w:r/>
            <w:r>
              <w:rPr>
                <w:rFonts w:ascii="Arial" w:hAnsi="Arial"/>
                <w:b w:val="0"/>
                <w:sz w:val="16"/>
              </w:rPr>
              <w:t>Annual report &amp; AGM</w:t>
            </w:r>
          </w:p>
        </w:tc>
        <w:tc>
          <w:tcPr>
            <w:tcW w:type="dxa" w:w="2304"/>
            <w:shd w:val="clear" w:fill="F4F7FB"/>
          </w:tcPr>
          <w:p>
            <w:r/>
            <w:r>
              <w:rPr>
                <w:rFonts w:ascii="Arial" w:hAnsi="Arial"/>
                <w:b w:val="0"/>
                <w:sz w:val="16"/>
              </w:rPr>
              <w:t>Succession review</w:t>
            </w:r>
          </w:p>
        </w:tc>
      </w:tr>
      <w:tr>
        <w:tc>
          <w:tcPr>
            <w:tcW w:type="dxa" w:w="1296"/>
          </w:tcPr>
          <w:p>
            <w:r/>
            <w:r>
              <w:rPr>
                <w:rFonts w:ascii="Arial" w:hAnsi="Arial"/>
                <w:b w:val="0"/>
                <w:sz w:val="16"/>
              </w:rPr>
              <w:t>Q3</w:t>
            </w:r>
          </w:p>
        </w:tc>
        <w:tc>
          <w:tcPr>
            <w:tcW w:type="dxa" w:w="2880"/>
          </w:tcPr>
          <w:p>
            <w:r/>
            <w:r>
              <w:rPr>
                <w:rFonts w:ascii="Arial" w:hAnsi="Arial"/>
                <w:b w:val="0"/>
                <w:sz w:val="16"/>
              </w:rPr>
              <w:t>Strategy session</w:t>
            </w:r>
          </w:p>
        </w:tc>
        <w:tc>
          <w:tcPr>
            <w:tcW w:type="dxa" w:w="2592"/>
          </w:tcPr>
          <w:p>
            <w:r/>
            <w:r>
              <w:rPr>
                <w:rFonts w:ascii="Arial" w:hAnsi="Arial"/>
                <w:b w:val="0"/>
                <w:sz w:val="16"/>
              </w:rPr>
              <w:t>Controls assurance</w:t>
            </w:r>
          </w:p>
        </w:tc>
        <w:tc>
          <w:tcPr>
            <w:tcW w:type="dxa" w:w="2448"/>
          </w:tcPr>
          <w:p>
            <w:r/>
            <w:r>
              <w:rPr>
                <w:rFonts w:ascii="Arial" w:hAnsi="Arial"/>
                <w:b w:val="0"/>
                <w:sz w:val="16"/>
              </w:rPr>
              <w:t>Half-year results</w:t>
            </w:r>
          </w:p>
        </w:tc>
        <w:tc>
          <w:tcPr>
            <w:tcW w:type="dxa" w:w="2304"/>
          </w:tcPr>
          <w:p>
            <w:r/>
            <w:r>
              <w:rPr>
                <w:rFonts w:ascii="Arial" w:hAnsi="Arial"/>
                <w:b w:val="0"/>
                <w:sz w:val="16"/>
              </w:rPr>
              <w:t>Director development</w:t>
            </w:r>
          </w:p>
        </w:tc>
      </w:tr>
      <w:tr>
        <w:tc>
          <w:tcPr>
            <w:tcW w:type="dxa" w:w="1296"/>
            <w:shd w:val="clear" w:fill="F4F7FB"/>
          </w:tcPr>
          <w:p>
            <w:r/>
            <w:r>
              <w:rPr>
                <w:rFonts w:ascii="Arial" w:hAnsi="Arial"/>
                <w:b w:val="0"/>
                <w:sz w:val="16"/>
              </w:rPr>
              <w:t>Q4</w:t>
            </w:r>
          </w:p>
        </w:tc>
        <w:tc>
          <w:tcPr>
            <w:tcW w:type="dxa" w:w="2880"/>
            <w:shd w:val="clear" w:fill="F4F7FB"/>
          </w:tcPr>
          <w:p>
            <w:r/>
            <w:r>
              <w:rPr>
                <w:rFonts w:ascii="Arial" w:hAnsi="Arial"/>
                <w:b w:val="0"/>
                <w:sz w:val="16"/>
              </w:rPr>
              <w:t>Plan &amp; budget</w:t>
            </w:r>
          </w:p>
        </w:tc>
        <w:tc>
          <w:tcPr>
            <w:tcW w:type="dxa" w:w="2592"/>
            <w:shd w:val="clear" w:fill="F4F7FB"/>
          </w:tcPr>
          <w:p>
            <w:r/>
            <w:r>
              <w:rPr>
                <w:rFonts w:ascii="Arial" w:hAnsi="Arial"/>
                <w:b w:val="0"/>
                <w:sz w:val="16"/>
              </w:rPr>
              <w:t>Risk report</w:t>
            </w:r>
          </w:p>
        </w:tc>
        <w:tc>
          <w:tcPr>
            <w:tcW w:type="dxa" w:w="2448"/>
            <w:shd w:val="clear" w:fill="F4F7FB"/>
          </w:tcPr>
          <w:p>
            <w:r/>
            <w:r>
              <w:rPr>
                <w:rFonts w:ascii="Arial" w:hAnsi="Arial"/>
                <w:b w:val="0"/>
                <w:sz w:val="16"/>
              </w:rPr>
              <w:t>Capital plan</w:t>
            </w:r>
          </w:p>
        </w:tc>
        <w:tc>
          <w:tcPr>
            <w:tcW w:type="dxa" w:w="2304"/>
            <w:shd w:val="clear" w:fill="F4F7FB"/>
          </w:tcPr>
          <w:p>
            <w:r/>
            <w:r>
              <w:rPr>
                <w:rFonts w:ascii="Arial" w:hAnsi="Arial"/>
                <w:b w:val="0"/>
                <w:sz w:val="16"/>
              </w:rPr>
              <w:t>Remuneration review</w:t>
            </w:r>
          </w:p>
        </w:tc>
      </w:tr>
    </w:tbl>
    <w:p>
      <w:pPr>
        <w:pStyle w:val="Heading1"/>
      </w:pPr>
      <w:r>
        <w:t>3. Standing Items (every meeting)</w:t>
      </w:r>
    </w:p>
    <w:p>
      <w:pPr>
        <w:pStyle w:val="ListBullet"/>
      </w:pPr>
      <w:r>
        <w:rPr>
          <w:sz w:val="19"/>
        </w:rPr>
        <w:t>Chair's and CEO's reports</w:t>
      </w:r>
    </w:p>
    <w:p>
      <w:pPr>
        <w:pStyle w:val="ListBullet"/>
      </w:pPr>
      <w:r>
        <w:rPr>
          <w:sz w:val="19"/>
        </w:rPr>
        <w:t>Financial and performance update</w:t>
      </w:r>
    </w:p>
    <w:p>
      <w:pPr>
        <w:pStyle w:val="ListBullet"/>
      </w:pPr>
      <w:r>
        <w:rPr>
          <w:sz w:val="19"/>
        </w:rPr>
        <w:t>Risk and compliance update</w:t>
      </w:r>
    </w:p>
    <w:p>
      <w:pPr>
        <w:pStyle w:val="ListBullet"/>
      </w:pPr>
      <w:r>
        <w:rPr>
          <w:sz w:val="19"/>
        </w:rPr>
        <w:t>Committee reports</w:t>
      </w:r>
    </w:p>
    <w:p>
      <w:pPr>
        <w:pStyle w:val="ListBullet"/>
      </w:pPr>
      <w:r>
        <w:rPr>
          <w:sz w:val="19"/>
        </w:rPr>
        <w:t>Decisions and actions review</w:t>
      </w:r>
    </w:p>
    <w:p>
      <w:pPr>
        <w:pStyle w:val="Heading1"/>
      </w:pPr>
      <w:r>
        <w:t>4. Ownership &amp; Tracking</w:t>
      </w:r>
    </w:p>
    <w:p>
      <w:r>
        <w:rPr>
          <w:b w:val="0"/>
          <w:i w:val="0"/>
          <w:sz w:val="19"/>
        </w:rPr>
        <w:t>The company secretary maintains the work plan; the chair sets each agenda from it; delivery is tracked via the board action tracker.</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