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
    <w:p/>
    <w:p/>
    <w:p>
      <w:pPr>
        <w:jc w:val="center"/>
      </w:pPr>
      <w:r>
        <w:rPr>
          <w:b/>
          <w:color w:val="1B4D89"/>
          <w:sz w:val="24"/>
        </w:rPr>
        <w:t>OUTLIERS BOARD EXCELLENCE CENTRE™</w:t>
      </w:r>
    </w:p>
    <w:p>
      <w:pPr>
        <w:jc w:val="center"/>
      </w:pPr>
      <w:r>
        <w:rPr>
          <w:b/>
          <w:color w:val="10243F"/>
          <w:sz w:val="46"/>
        </w:rPr>
        <w:t>Nomination Committee Charter</w:t>
      </w:r>
    </w:p>
    <w:p>
      <w:pPr>
        <w:jc w:val="center"/>
      </w:pPr>
      <w:r>
        <w:rPr>
          <w:color w:val="C97B2C"/>
          <w:sz w:val="26"/>
        </w:rPr>
        <w:t>Terms of reference</w:t>
      </w:r>
    </w:p>
    <w:p/>
    <w:p/>
    <w:p>
      <w:pPr>
        <w:jc w:val="center"/>
      </w:pPr>
      <w:r>
        <w:rPr>
          <w:color w:val="555555"/>
          <w:sz w:val="20"/>
        </w:rPr>
        <w:t>Board / Committee Chair / Members  ·  Flagship Edition 2026</w:t>
      </w:r>
    </w:p>
    <w:p>
      <w:pPr>
        <w:jc w:val="center"/>
      </w:pPr>
      <w:r>
        <w:rPr>
          <w:i/>
          <w:color w:val="555555"/>
          <w:sz w:val="18"/>
        </w:rPr>
        <w:t>Outliers Professionals Ltd — Board Excellence Centre Resource Library</w:t>
      </w:r>
    </w:p>
    <w:p>
      <w:r>
        <w:br w:type="page"/>
      </w:r>
    </w:p>
    <w:p>
      <w:pPr>
        <w:pStyle w:val="Heading1"/>
      </w:pPr>
      <w:r>
        <w:t>1. Purpose</w:t>
      </w:r>
    </w:p>
    <w:p>
      <w:r>
        <w:rPr>
          <w:b w:val="0"/>
          <w:i w:val="0"/>
          <w:sz w:val="20"/>
        </w:rPr>
        <w:t>The Nomination Committee oversees board composition, succession and appointments on behalf of the board. This charter is a template; confirm provisions against NCCG 2018, FRCN and the relevant sector guidelines (by name).</w:t>
      </w:r>
    </w:p>
    <w:p>
      <w:pPr>
        <w:pStyle w:val="Heading1"/>
      </w:pPr>
      <w:r>
        <w:t>2. Authority</w:t>
      </w:r>
    </w:p>
    <w:p>
      <w:r>
        <w:rPr>
          <w:b w:val="0"/>
          <w:i w:val="0"/>
          <w:sz w:val="20"/>
        </w:rPr>
        <w:t>The committee operates under delegation from the board and may obtain information and external advice as needed within its mandate.</w:t>
      </w:r>
    </w:p>
    <w:p>
      <w:pPr>
        <w:pStyle w:val="Heading1"/>
      </w:pPr>
      <w:r>
        <w:t>3. Composition</w:t>
      </w:r>
    </w:p>
    <w:tbl>
      <w:tblPr>
        <w:tblStyle w:val="TableGrid"/>
        <w:tblW w:type="auto" w:w="0"/>
        <w:jc w:val="center"/>
        <w:tblLook w:firstColumn="1" w:firstRow="1" w:lastColumn="0" w:lastRow="0" w:noHBand="0" w:noVBand="1" w:val="04A0"/>
      </w:tblPr>
      <w:tblGrid>
        <w:gridCol w:w="4896"/>
        <w:gridCol w:w="4896"/>
      </w:tblGrid>
      <w:tr>
        <w:tc>
          <w:tcPr>
            <w:tcW w:type="dxa" w:w="2880"/>
            <w:shd w:val="clear" w:fill="1B4D89"/>
          </w:tcPr>
          <w:p>
            <w:r/>
            <w:r>
              <w:rPr>
                <w:rFonts w:ascii="Arial" w:hAnsi="Arial"/>
                <w:b/>
                <w:color w:val="FFFFFF"/>
                <w:sz w:val="16"/>
              </w:rPr>
              <w:t>Item</w:t>
            </w:r>
          </w:p>
        </w:tc>
        <w:tc>
          <w:tcPr>
            <w:tcW w:type="dxa" w:w="8640"/>
            <w:shd w:val="clear" w:fill="1B4D89"/>
          </w:tcPr>
          <w:p>
            <w:r/>
            <w:r>
              <w:rPr>
                <w:rFonts w:ascii="Arial" w:hAnsi="Arial"/>
                <w:b/>
                <w:color w:val="FFFFFF"/>
                <w:sz w:val="16"/>
              </w:rPr>
              <w:t>Provision</w:t>
            </w:r>
          </w:p>
        </w:tc>
      </w:tr>
      <w:tr>
        <w:tc>
          <w:tcPr>
            <w:tcW w:type="dxa" w:w="2880"/>
          </w:tcPr>
          <w:p>
            <w:r/>
            <w:r>
              <w:rPr>
                <w:rFonts w:ascii="Arial" w:hAnsi="Arial"/>
                <w:b w:val="0"/>
                <w:sz w:val="16"/>
              </w:rPr>
              <w:t>Members</w:t>
            </w:r>
          </w:p>
        </w:tc>
        <w:tc>
          <w:tcPr>
            <w:tcW w:type="dxa" w:w="8640"/>
          </w:tcPr>
          <w:p>
            <w:r/>
            <w:r>
              <w:rPr>
                <w:rFonts w:ascii="Arial" w:hAnsi="Arial"/>
                <w:b w:val="0"/>
                <w:sz w:val="16"/>
              </w:rPr>
              <w:t>[number] non-executive directors</w:t>
            </w:r>
          </w:p>
        </w:tc>
      </w:tr>
      <w:tr>
        <w:tc>
          <w:tcPr>
            <w:tcW w:type="dxa" w:w="2880"/>
            <w:shd w:val="clear" w:fill="F4F7FB"/>
          </w:tcPr>
          <w:p>
            <w:r/>
            <w:r>
              <w:rPr>
                <w:rFonts w:ascii="Arial" w:hAnsi="Arial"/>
                <w:b w:val="0"/>
                <w:sz w:val="16"/>
              </w:rPr>
              <w:t>Chair</w:t>
            </w:r>
          </w:p>
        </w:tc>
        <w:tc>
          <w:tcPr>
            <w:tcW w:type="dxa" w:w="8640"/>
            <w:shd w:val="clear" w:fill="F4F7FB"/>
          </w:tcPr>
          <w:p>
            <w:r/>
            <w:r>
              <w:rPr>
                <w:rFonts w:ascii="Arial" w:hAnsi="Arial"/>
                <w:b w:val="0"/>
                <w:sz w:val="16"/>
              </w:rPr>
              <w:t>Independent non-executive director</w:t>
            </w:r>
          </w:p>
        </w:tc>
      </w:tr>
      <w:tr>
        <w:tc>
          <w:tcPr>
            <w:tcW w:type="dxa" w:w="2880"/>
          </w:tcPr>
          <w:p>
            <w:r/>
            <w:r>
              <w:rPr>
                <w:rFonts w:ascii="Arial" w:hAnsi="Arial"/>
                <w:b w:val="0"/>
                <w:sz w:val="16"/>
              </w:rPr>
              <w:t>Quorum</w:t>
            </w:r>
          </w:p>
        </w:tc>
        <w:tc>
          <w:tcPr>
            <w:tcW w:type="dxa" w:w="8640"/>
          </w:tcPr>
          <w:p>
            <w:r/>
            <w:r>
              <w:rPr>
                <w:rFonts w:ascii="Arial" w:hAnsi="Arial"/>
                <w:b w:val="0"/>
                <w:sz w:val="16"/>
              </w:rPr>
              <w:t>[number] members</w:t>
            </w:r>
          </w:p>
        </w:tc>
      </w:tr>
      <w:tr>
        <w:tc>
          <w:tcPr>
            <w:tcW w:type="dxa" w:w="2880"/>
            <w:shd w:val="clear" w:fill="F4F7FB"/>
          </w:tcPr>
          <w:p>
            <w:r/>
            <w:r>
              <w:rPr>
                <w:rFonts w:ascii="Arial" w:hAnsi="Arial"/>
                <w:b w:val="0"/>
                <w:sz w:val="16"/>
              </w:rPr>
              <w:t>Attendees</w:t>
            </w:r>
          </w:p>
        </w:tc>
        <w:tc>
          <w:tcPr>
            <w:tcW w:type="dxa" w:w="8640"/>
            <w:shd w:val="clear" w:fill="F4F7FB"/>
          </w:tcPr>
          <w:p>
            <w:r/>
            <w:r>
              <w:rPr>
                <w:rFonts w:ascii="Arial" w:hAnsi="Arial"/>
                <w:b w:val="0"/>
                <w:sz w:val="16"/>
              </w:rPr>
              <w:t>Management and assurance providers by invitation</w:t>
            </w:r>
          </w:p>
        </w:tc>
      </w:tr>
      <w:tr>
        <w:tc>
          <w:tcPr>
            <w:tcW w:type="dxa" w:w="2880"/>
          </w:tcPr>
          <w:p>
            <w:r/>
            <w:r>
              <w:rPr>
                <w:rFonts w:ascii="Arial" w:hAnsi="Arial"/>
                <w:b w:val="0"/>
                <w:sz w:val="16"/>
              </w:rPr>
              <w:t>Secretary</w:t>
            </w:r>
          </w:p>
        </w:tc>
        <w:tc>
          <w:tcPr>
            <w:tcW w:type="dxa" w:w="8640"/>
          </w:tcPr>
          <w:p>
            <w:r/>
            <w:r>
              <w:rPr>
                <w:rFonts w:ascii="Arial" w:hAnsi="Arial"/>
                <w:b w:val="0"/>
                <w:sz w:val="16"/>
              </w:rPr>
              <w:t>Company Secretary</w:t>
            </w:r>
          </w:p>
        </w:tc>
      </w:tr>
    </w:tbl>
    <w:p>
      <w:pPr>
        <w:pStyle w:val="Heading1"/>
      </w:pPr>
      <w:r>
        <w:t>4. Responsibilities</w:t>
      </w:r>
    </w:p>
    <w:tbl>
      <w:tblPr>
        <w:tblStyle w:val="TableGrid"/>
        <w:tblW w:type="auto" w:w="0"/>
        <w:jc w:val="center"/>
        <w:tblLook w:firstColumn="1" w:firstRow="1" w:lastColumn="0" w:lastRow="0" w:noHBand="0" w:noVBand="1" w:val="04A0"/>
      </w:tblPr>
      <w:tblGrid>
        <w:gridCol w:w="4896"/>
        <w:gridCol w:w="4896"/>
      </w:tblGrid>
      <w:tr>
        <w:tc>
          <w:tcPr>
            <w:tcW w:type="dxa" w:w="3168"/>
            <w:shd w:val="clear" w:fill="1B4D89"/>
          </w:tcPr>
          <w:p>
            <w:r/>
            <w:r>
              <w:rPr>
                <w:rFonts w:ascii="Arial" w:hAnsi="Arial"/>
                <w:b/>
                <w:color w:val="FFFFFF"/>
                <w:sz w:val="16"/>
              </w:rPr>
              <w:t>Area</w:t>
            </w:r>
          </w:p>
        </w:tc>
        <w:tc>
          <w:tcPr>
            <w:tcW w:type="dxa" w:w="8352"/>
            <w:shd w:val="clear" w:fill="1B4D89"/>
          </w:tcPr>
          <w:p>
            <w:r/>
            <w:r>
              <w:rPr>
                <w:rFonts w:ascii="Arial" w:hAnsi="Arial"/>
                <w:b/>
                <w:color w:val="FFFFFF"/>
                <w:sz w:val="16"/>
              </w:rPr>
              <w:t>Responsibility</w:t>
            </w:r>
          </w:p>
        </w:tc>
      </w:tr>
      <w:tr>
        <w:tc>
          <w:tcPr>
            <w:tcW w:type="dxa" w:w="3168"/>
          </w:tcPr>
          <w:p>
            <w:r/>
            <w:r>
              <w:rPr>
                <w:rFonts w:ascii="Arial" w:hAnsi="Arial"/>
                <w:b w:val="0"/>
                <w:sz w:val="16"/>
              </w:rPr>
              <w:t>Composition</w:t>
            </w:r>
          </w:p>
        </w:tc>
        <w:tc>
          <w:tcPr>
            <w:tcW w:type="dxa" w:w="8352"/>
          </w:tcPr>
          <w:p>
            <w:r/>
            <w:r>
              <w:rPr>
                <w:rFonts w:ascii="Arial" w:hAnsi="Arial"/>
                <w:b w:val="0"/>
                <w:sz w:val="16"/>
              </w:rPr>
              <w:t>Oversee board composition and skills</w:t>
            </w:r>
          </w:p>
        </w:tc>
      </w:tr>
      <w:tr>
        <w:tc>
          <w:tcPr>
            <w:tcW w:type="dxa" w:w="3168"/>
            <w:shd w:val="clear" w:fill="F4F7FB"/>
          </w:tcPr>
          <w:p>
            <w:r/>
            <w:r>
              <w:rPr>
                <w:rFonts w:ascii="Arial" w:hAnsi="Arial"/>
                <w:b w:val="0"/>
                <w:sz w:val="16"/>
              </w:rPr>
              <w:t>Succession</w:t>
            </w:r>
          </w:p>
        </w:tc>
        <w:tc>
          <w:tcPr>
            <w:tcW w:type="dxa" w:w="8352"/>
            <w:shd w:val="clear" w:fill="F4F7FB"/>
          </w:tcPr>
          <w:p>
            <w:r/>
            <w:r>
              <w:rPr>
                <w:rFonts w:ascii="Arial" w:hAnsi="Arial"/>
                <w:b w:val="0"/>
                <w:sz w:val="16"/>
              </w:rPr>
              <w:t>Oversee board and executive succession</w:t>
            </w:r>
          </w:p>
        </w:tc>
      </w:tr>
      <w:tr>
        <w:tc>
          <w:tcPr>
            <w:tcW w:type="dxa" w:w="3168"/>
          </w:tcPr>
          <w:p>
            <w:r/>
            <w:r>
              <w:rPr>
                <w:rFonts w:ascii="Arial" w:hAnsi="Arial"/>
                <w:b w:val="0"/>
                <w:sz w:val="16"/>
              </w:rPr>
              <w:t>Appointments</w:t>
            </w:r>
          </w:p>
        </w:tc>
        <w:tc>
          <w:tcPr>
            <w:tcW w:type="dxa" w:w="8352"/>
          </w:tcPr>
          <w:p>
            <w:r/>
            <w:r>
              <w:rPr>
                <w:rFonts w:ascii="Arial" w:hAnsi="Arial"/>
                <w:b w:val="0"/>
                <w:sz w:val="16"/>
              </w:rPr>
              <w:t>Lead a robust appointment process</w:t>
            </w:r>
          </w:p>
        </w:tc>
      </w:tr>
      <w:tr>
        <w:tc>
          <w:tcPr>
            <w:tcW w:type="dxa" w:w="3168"/>
            <w:shd w:val="clear" w:fill="F4F7FB"/>
          </w:tcPr>
          <w:p>
            <w:r/>
            <w:r>
              <w:rPr>
                <w:rFonts w:ascii="Arial" w:hAnsi="Arial"/>
                <w:b w:val="0"/>
                <w:sz w:val="16"/>
              </w:rPr>
              <w:t>Diversity</w:t>
            </w:r>
          </w:p>
        </w:tc>
        <w:tc>
          <w:tcPr>
            <w:tcW w:type="dxa" w:w="8352"/>
            <w:shd w:val="clear" w:fill="F4F7FB"/>
          </w:tcPr>
          <w:p>
            <w:r/>
            <w:r>
              <w:rPr>
                <w:rFonts w:ascii="Arial" w:hAnsi="Arial"/>
                <w:b w:val="0"/>
                <w:sz w:val="16"/>
              </w:rPr>
              <w:t>Advance board diversity and inclusion</w:t>
            </w:r>
          </w:p>
        </w:tc>
      </w:tr>
      <w:tr>
        <w:tc>
          <w:tcPr>
            <w:tcW w:type="dxa" w:w="3168"/>
          </w:tcPr>
          <w:p>
            <w:r/>
            <w:r>
              <w:rPr>
                <w:rFonts w:ascii="Arial" w:hAnsi="Arial"/>
                <w:b w:val="0"/>
                <w:sz w:val="16"/>
              </w:rPr>
              <w:t>Induction</w:t>
            </w:r>
          </w:p>
        </w:tc>
        <w:tc>
          <w:tcPr>
            <w:tcW w:type="dxa" w:w="8352"/>
          </w:tcPr>
          <w:p>
            <w:r/>
            <w:r>
              <w:rPr>
                <w:rFonts w:ascii="Arial" w:hAnsi="Arial"/>
                <w:b w:val="0"/>
                <w:sz w:val="16"/>
              </w:rPr>
              <w:t>Oversee induction and development</w:t>
            </w:r>
          </w:p>
        </w:tc>
      </w:tr>
    </w:tbl>
    <w:p>
      <w:pPr>
        <w:pStyle w:val="Heading1"/>
      </w:pPr>
      <w:r>
        <w:t>5. Meetings &amp; Reporting</w:t>
      </w:r>
    </w:p>
    <w:p>
      <w:r>
        <w:rPr>
          <w:b w:val="0"/>
          <w:i w:val="0"/>
          <w:sz w:val="20"/>
        </w:rPr>
        <w:t>The committee meets at least [quarterly] and reports to the board after each meeting. It reviews its terms of reference annually.</w:t>
      </w:r>
    </w:p>
    <w:p>
      <w:pPr>
        <w:pStyle w:val="Heading1"/>
      </w:pPr>
      <w:r>
        <w:t>6. Effectiveness</w:t>
      </w:r>
    </w:p>
    <w:p>
      <w:r>
        <w:rPr>
          <w:b w:val="0"/>
          <w:i w:val="0"/>
          <w:sz w:val="20"/>
        </w:rPr>
        <w:t>The committee assesses its effectiveness at least annually and acts on the results.</w:t>
      </w:r>
    </w:p>
    <w:p>
      <w:pPr>
        <w:pStyle w:val="Heading2"/>
      </w:pPr>
      <w:r>
        <w:t>Notes &amp; Disclaimer</w:t>
      </w:r>
    </w:p>
    <w:p>
      <w:r>
        <w:rPr>
          <w:b w:val="0"/>
          <w:i/>
          <w:sz w:val="18"/>
        </w:rPr>
        <w:t>This resource is a professional board-effectiveness template, not legal, governance or investment advice. It is anchored to the Nigerian Code of Corporate Governance (NCCG 2018), FRCN, SEC Nigeria, CBN, NAICOM, CAMA, the OECD Principles of Corporate Governance, the IFC Corporate Governance Methodology, King IV, ISO 37000, the IoD Global Governance Principles and WEF board-governance publications — referenced by name only, with no copyrighted content reproduced and no legal provisions, regulatory requirements, statistics or case studies fabricated. Calibrate roles, criteria, thresholds and practices to your board and confirm requirements against the current instruments. Bracketed fields [like this] and sample entries are editable, illustrative placeholders.</w:t>
      </w:r>
    </w:p>
    <w:sectPr w:rsidR="00FC693F" w:rsidRPr="0006063C" w:rsidSect="00034616">
      <w:pgSz w:w="12240" w:h="15840"/>
      <w:pgMar w:top="1080" w:right="1224" w:bottom="1080" w:left="122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Arial" w:hAnsi="Arial"/>
      <w:sz w:val="20"/>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ascii="Arial" w:hAnsi="Arial"/>
      <w:b/>
      <w:bCs/>
      <w:color w:val="10243F"/>
      <w:sz w:val="30"/>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ascii="Arial" w:hAnsi="Arial"/>
      <w:b/>
      <w:bCs/>
      <w:color w:val="1B4D89"/>
      <w:sz w:val="25"/>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ascii="Arial" w:hAnsi="Arial"/>
      <w:b/>
      <w:bCs/>
      <w:color w:val="1B4D89"/>
      <w:sz w:val="2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