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CFO Value Creation Report</w:t>
      </w:r>
    </w:p>
    <w:p>
      <w:pPr>
        <w:jc w:val="center"/>
      </w:pPr>
      <w:r>
        <w:rPr>
          <w:color w:val="C97B2C"/>
          <w:sz w:val="26"/>
        </w:rPr>
        <w:t>How finance is creating enterprise value</w:t>
      </w:r>
    </w:p>
    <w:p/>
    <w:p/>
    <w:p>
      <w:pPr>
        <w:jc w:val="center"/>
      </w:pPr>
      <w:r>
        <w:rPr>
          <w:color w:val="555555"/>
          <w:sz w:val="20"/>
        </w:rPr>
        <w:t>CFO / Board / Executive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Value Creation Summary</w:t>
      </w:r>
    </w:p>
    <w:p>
      <w:r>
        <w:rPr>
          <w:b w:val="0"/>
          <w:i w:val="0"/>
          <w:sz w:val="20"/>
        </w:rPr>
        <w:t>[How finance has created and protected value this period — across growth, margin, capital efficiency and risk.]</w:t>
      </w:r>
    </w:p>
    <w:p>
      <w:pPr>
        <w:pStyle w:val="Heading1"/>
      </w:pPr>
      <w:r>
        <w:t>2. Value Drivers</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Value Driver</w:t>
            </w:r>
          </w:p>
        </w:tc>
        <w:tc>
          <w:tcPr>
            <w:tcW w:type="dxa" w:w="1728"/>
            <w:shd w:val="clear" w:fill="1B4D89"/>
          </w:tcPr>
          <w:p>
            <w:r/>
            <w:r>
              <w:rPr>
                <w:rFonts w:ascii="Arial" w:hAnsi="Arial"/>
                <w:b/>
                <w:color w:val="FFFFFF"/>
                <w:sz w:val="16"/>
              </w:rPr>
              <w:t>Baseline</w:t>
            </w:r>
          </w:p>
        </w:tc>
        <w:tc>
          <w:tcPr>
            <w:tcW w:type="dxa" w:w="1584"/>
            <w:shd w:val="clear" w:fill="1B4D89"/>
          </w:tcPr>
          <w:p>
            <w:r/>
            <w:r>
              <w:rPr>
                <w:rFonts w:ascii="Arial" w:hAnsi="Arial"/>
                <w:b/>
                <w:color w:val="FFFFFF"/>
                <w:sz w:val="16"/>
              </w:rPr>
              <w:t>Current</w:t>
            </w:r>
          </w:p>
        </w:tc>
        <w:tc>
          <w:tcPr>
            <w:tcW w:type="dxa" w:w="1584"/>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3168"/>
          </w:tcPr>
          <w:p>
            <w:r/>
            <w:r>
              <w:rPr>
                <w:rFonts w:ascii="Arial" w:hAnsi="Arial"/>
                <w:b w:val="0"/>
                <w:sz w:val="16"/>
              </w:rPr>
              <w:t>Revenue growth %</w:t>
            </w:r>
          </w:p>
        </w:tc>
        <w:tc>
          <w:tcPr>
            <w:tcW w:type="dxa" w:w="1728"/>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r>
        <w:tc>
          <w:tcPr>
            <w:tcW w:type="dxa" w:w="3168"/>
            <w:shd w:val="clear" w:fill="F4F7FB"/>
          </w:tcPr>
          <w:p>
            <w:r/>
            <w:r>
              <w:rPr>
                <w:rFonts w:ascii="Arial" w:hAnsi="Arial"/>
                <w:b w:val="0"/>
                <w:sz w:val="16"/>
              </w:rPr>
              <w:t>EBITDA margin %</w:t>
            </w:r>
          </w:p>
        </w:tc>
        <w:tc>
          <w:tcPr>
            <w:tcW w:type="dxa" w:w="1728"/>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296"/>
            <w:shd w:val="clear" w:fill="F4F7FB"/>
            <w:shd w:val="clear" w:fill="E08A2B"/>
          </w:tcPr>
          <w:p>
            <w:pPr>
              <w:jc w:val="center"/>
            </w:pPr>
            <w:r/>
            <w:r>
              <w:rPr>
                <w:rFonts w:ascii="Arial" w:hAnsi="Arial"/>
                <w:b/>
                <w:color w:val="FFFFFF"/>
                <w:sz w:val="16"/>
              </w:rPr>
              <w:t>Amber</w:t>
            </w:r>
          </w:p>
        </w:tc>
      </w:tr>
      <w:tr>
        <w:tc>
          <w:tcPr>
            <w:tcW w:type="dxa" w:w="3168"/>
          </w:tcPr>
          <w:p>
            <w:r/>
            <w:r>
              <w:rPr>
                <w:rFonts w:ascii="Arial" w:hAnsi="Arial"/>
                <w:b w:val="0"/>
                <w:sz w:val="16"/>
              </w:rPr>
              <w:t>ROIC %</w:t>
            </w:r>
          </w:p>
        </w:tc>
        <w:tc>
          <w:tcPr>
            <w:tcW w:type="dxa" w:w="1728"/>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296"/>
            <w:shd w:val="clear" w:fill="B23A48"/>
          </w:tcPr>
          <w:p>
            <w:pPr>
              <w:jc w:val="center"/>
            </w:pPr>
            <w:r/>
            <w:r>
              <w:rPr>
                <w:rFonts w:ascii="Arial" w:hAnsi="Arial"/>
                <w:b/>
                <w:color w:val="FFFFFF"/>
                <w:sz w:val="16"/>
              </w:rPr>
              <w:t>Red</w:t>
            </w:r>
          </w:p>
        </w:tc>
      </w:tr>
      <w:tr>
        <w:tc>
          <w:tcPr>
            <w:tcW w:type="dxa" w:w="3168"/>
            <w:shd w:val="clear" w:fill="F4F7FB"/>
          </w:tcPr>
          <w:p>
            <w:r/>
            <w:r>
              <w:rPr>
                <w:rFonts w:ascii="Arial" w:hAnsi="Arial"/>
                <w:b w:val="0"/>
                <w:sz w:val="16"/>
              </w:rPr>
              <w:t>Cash conversion cycle</w:t>
            </w:r>
          </w:p>
        </w:tc>
        <w:tc>
          <w:tcPr>
            <w:tcW w:type="dxa" w:w="1728"/>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296"/>
            <w:shd w:val="clear" w:fill="F4F7FB"/>
            <w:shd w:val="clear" w:fill="E08A2B"/>
          </w:tcPr>
          <w:p>
            <w:pPr>
              <w:jc w:val="center"/>
            </w:pPr>
            <w:r/>
            <w:r>
              <w:rPr>
                <w:rFonts w:ascii="Arial" w:hAnsi="Arial"/>
                <w:b/>
                <w:color w:val="FFFFFF"/>
                <w:sz w:val="16"/>
              </w:rPr>
              <w:t>Amber</w:t>
            </w:r>
          </w:p>
        </w:tc>
      </w:tr>
      <w:tr>
        <w:tc>
          <w:tcPr>
            <w:tcW w:type="dxa" w:w="3168"/>
          </w:tcPr>
          <w:p>
            <w:r/>
            <w:r>
              <w:rPr>
                <w:rFonts w:ascii="Arial" w:hAnsi="Arial"/>
                <w:b w:val="0"/>
                <w:sz w:val="16"/>
              </w:rPr>
              <w:t>Cost-to-income %</w:t>
            </w:r>
          </w:p>
        </w:tc>
        <w:tc>
          <w:tcPr>
            <w:tcW w:type="dxa" w:w="1728"/>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bl>
    <w:p>
      <w:pPr>
        <w:pStyle w:val="Heading1"/>
      </w:pPr>
      <w:r>
        <w:t>3. Finance Initiatives &amp; Value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4320"/>
            <w:shd w:val="clear" w:fill="1B4D89"/>
          </w:tcPr>
          <w:p>
            <w:r/>
            <w:r>
              <w:rPr>
                <w:rFonts w:ascii="Arial" w:hAnsi="Arial"/>
                <w:b/>
                <w:color w:val="FFFFFF"/>
                <w:sz w:val="16"/>
              </w:rPr>
              <w:t>Initiative</w:t>
            </w:r>
          </w:p>
        </w:tc>
        <w:tc>
          <w:tcPr>
            <w:tcW w:type="dxa" w:w="2016"/>
            <w:shd w:val="clear" w:fill="1B4D89"/>
          </w:tcPr>
          <w:p>
            <w:r/>
            <w:r>
              <w:rPr>
                <w:rFonts w:ascii="Arial" w:hAnsi="Arial"/>
                <w:b/>
                <w:color w:val="FFFFFF"/>
                <w:sz w:val="16"/>
              </w:rPr>
              <w:t>Value (₦m)</w:t>
            </w:r>
          </w:p>
        </w:tc>
        <w:tc>
          <w:tcPr>
            <w:tcW w:type="dxa" w:w="2304"/>
            <w:shd w:val="clear" w:fill="1B4D89"/>
          </w:tcPr>
          <w:p>
            <w:r/>
            <w:r>
              <w:rPr>
                <w:rFonts w:ascii="Arial" w:hAnsi="Arial"/>
                <w:b/>
                <w:color w:val="FFFFFF"/>
                <w:sz w:val="16"/>
              </w:rPr>
              <w:t>Status</w:t>
            </w:r>
          </w:p>
        </w:tc>
        <w:tc>
          <w:tcPr>
            <w:tcW w:type="dxa" w:w="1296"/>
            <w:shd w:val="clear" w:fill="1B4D89"/>
          </w:tcPr>
          <w:p>
            <w:r/>
            <w:r>
              <w:rPr>
                <w:rFonts w:ascii="Arial" w:hAnsi="Arial"/>
                <w:b/>
                <w:color w:val="FFFFFF"/>
                <w:sz w:val="16"/>
              </w:rPr>
              <w:t>RAG</w:t>
            </w:r>
          </w:p>
        </w:tc>
      </w:tr>
      <w:tr>
        <w:tc>
          <w:tcPr>
            <w:tcW w:type="dxa" w:w="4320"/>
          </w:tcPr>
          <w:p>
            <w:r/>
            <w:r>
              <w:rPr>
                <w:rFonts w:ascii="Arial" w:hAnsi="Arial"/>
                <w:b w:val="0"/>
                <w:sz w:val="16"/>
              </w:rPr>
              <w:t>[initiative 1]</w:t>
            </w:r>
          </w:p>
        </w:tc>
        <w:tc>
          <w:tcPr>
            <w:tcW w:type="dxa" w:w="2016"/>
          </w:tcPr>
          <w:p>
            <w:r/>
            <w:r>
              <w:rPr>
                <w:rFonts w:ascii="Arial" w:hAnsi="Arial"/>
                <w:b w:val="0"/>
                <w:sz w:val="16"/>
              </w:rPr>
              <w:t>[ ]</w:t>
            </w:r>
          </w:p>
        </w:tc>
        <w:tc>
          <w:tcPr>
            <w:tcW w:type="dxa" w:w="2304"/>
          </w:tcPr>
          <w:p>
            <w:r/>
            <w:r>
              <w:rPr>
                <w:rFonts w:ascii="Arial" w:hAnsi="Arial"/>
                <w:b w:val="0"/>
                <w:sz w:val="16"/>
              </w:rPr>
              <w:t>[status]</w:t>
            </w:r>
          </w:p>
        </w:tc>
        <w:tc>
          <w:tcPr>
            <w:tcW w:type="dxa" w:w="1296"/>
            <w:shd w:val="clear" w:fill="2E7D5B"/>
          </w:tcPr>
          <w:p>
            <w:pPr>
              <w:jc w:val="center"/>
            </w:pPr>
            <w:r/>
            <w:r>
              <w:rPr>
                <w:rFonts w:ascii="Arial" w:hAnsi="Arial"/>
                <w:b/>
                <w:color w:val="FFFFFF"/>
                <w:sz w:val="16"/>
              </w:rPr>
              <w:t>Green</w:t>
            </w:r>
          </w:p>
        </w:tc>
      </w:tr>
      <w:tr>
        <w:tc>
          <w:tcPr>
            <w:tcW w:type="dxa" w:w="4320"/>
            <w:shd w:val="clear" w:fill="F4F7FB"/>
          </w:tcPr>
          <w:p>
            <w:r/>
            <w:r>
              <w:rPr>
                <w:rFonts w:ascii="Arial" w:hAnsi="Arial"/>
                <w:b w:val="0"/>
                <w:sz w:val="16"/>
              </w:rPr>
              <w:t>[initiative 2]</w:t>
            </w:r>
          </w:p>
        </w:tc>
        <w:tc>
          <w:tcPr>
            <w:tcW w:type="dxa" w:w="2016"/>
            <w:shd w:val="clear" w:fill="F4F7FB"/>
          </w:tcPr>
          <w:p>
            <w:r/>
            <w:r>
              <w:rPr>
                <w:rFonts w:ascii="Arial" w:hAnsi="Arial"/>
                <w:b w:val="0"/>
                <w:sz w:val="16"/>
              </w:rPr>
              <w:t>[ ]</w:t>
            </w:r>
          </w:p>
        </w:tc>
        <w:tc>
          <w:tcPr>
            <w:tcW w:type="dxa" w:w="2304"/>
            <w:shd w:val="clear" w:fill="F4F7FB"/>
          </w:tcPr>
          <w:p>
            <w:r/>
            <w:r>
              <w:rPr>
                <w:rFonts w:ascii="Arial" w:hAnsi="Arial"/>
                <w:b w:val="0"/>
                <w:sz w:val="16"/>
              </w:rPr>
              <w:t>[status]</w:t>
            </w:r>
          </w:p>
        </w:tc>
        <w:tc>
          <w:tcPr>
            <w:tcW w:type="dxa" w:w="1296"/>
            <w:shd w:val="clear" w:fill="F4F7FB"/>
            <w:shd w:val="clear" w:fill="E08A2B"/>
          </w:tcPr>
          <w:p>
            <w:pPr>
              <w:jc w:val="center"/>
            </w:pPr>
            <w:r/>
            <w:r>
              <w:rPr>
                <w:rFonts w:ascii="Arial" w:hAnsi="Arial"/>
                <w:b/>
                <w:color w:val="FFFFFF"/>
                <w:sz w:val="16"/>
              </w:rPr>
              <w:t>Amber</w:t>
            </w:r>
          </w:p>
        </w:tc>
      </w:tr>
      <w:tr>
        <w:tc>
          <w:tcPr>
            <w:tcW w:type="dxa" w:w="4320"/>
          </w:tcPr>
          <w:p>
            <w:r/>
            <w:r>
              <w:rPr>
                <w:rFonts w:ascii="Arial" w:hAnsi="Arial"/>
                <w:b w:val="0"/>
                <w:sz w:val="16"/>
              </w:rPr>
              <w:t>[initiative 3]</w:t>
            </w:r>
          </w:p>
        </w:tc>
        <w:tc>
          <w:tcPr>
            <w:tcW w:type="dxa" w:w="2016"/>
          </w:tcPr>
          <w:p>
            <w:r/>
            <w:r>
              <w:rPr>
                <w:rFonts w:ascii="Arial" w:hAnsi="Arial"/>
                <w:b w:val="0"/>
                <w:sz w:val="16"/>
              </w:rPr>
              <w:t>[ ]</w:t>
            </w:r>
          </w:p>
        </w:tc>
        <w:tc>
          <w:tcPr>
            <w:tcW w:type="dxa" w:w="2304"/>
          </w:tcPr>
          <w:p>
            <w:r/>
            <w:r>
              <w:rPr>
                <w:rFonts w:ascii="Arial" w:hAnsi="Arial"/>
                <w:b w:val="0"/>
                <w:sz w:val="16"/>
              </w:rPr>
              <w:t>[status]</w:t>
            </w:r>
          </w:p>
        </w:tc>
        <w:tc>
          <w:tcPr>
            <w:tcW w:type="dxa" w:w="1296"/>
            <w:shd w:val="clear" w:fill="E08A2B"/>
          </w:tcPr>
          <w:p>
            <w:pPr>
              <w:jc w:val="center"/>
            </w:pPr>
            <w:r/>
            <w:r>
              <w:rPr>
                <w:rFonts w:ascii="Arial" w:hAnsi="Arial"/>
                <w:b/>
                <w:color w:val="FFFFFF"/>
                <w:sz w:val="16"/>
              </w:rPr>
              <w:t>Amber</w:t>
            </w:r>
          </w:p>
        </w:tc>
      </w:tr>
    </w:tbl>
    <w:p>
      <w:pPr>
        <w:pStyle w:val="Heading1"/>
      </w:pPr>
      <w:r>
        <w:t>4. Capital &amp; Returns</w:t>
      </w:r>
    </w:p>
    <w:p>
      <w:r>
        <w:rPr>
          <w:b w:val="0"/>
          <w:i w:val="0"/>
          <w:sz w:val="20"/>
        </w:rPr>
        <w:t>[ROIC vs hurdle, capital allocation alignment, and returns on major investments. Use editable figures.]</w:t>
      </w:r>
    </w:p>
    <w:p>
      <w:pPr>
        <w:pStyle w:val="Heading1"/>
      </w:pPr>
      <w:r>
        <w:t>5. Next Period — Value Agenda</w:t>
      </w:r>
    </w:p>
    <w:p>
      <w:pPr>
        <w:pStyle w:val="ListBullet"/>
      </w:pPr>
      <w:r>
        <w:rPr>
          <w:sz w:val="19"/>
        </w:rPr>
        <w:t>[value priority 1]</w:t>
      </w:r>
    </w:p>
    <w:p>
      <w:pPr>
        <w:pStyle w:val="ListBullet"/>
      </w:pPr>
      <w:r>
        <w:rPr>
          <w:sz w:val="19"/>
        </w:rPr>
        <w:t>[value priority 2]</w:t>
      </w:r>
    </w:p>
    <w:p>
      <w:pPr>
        <w:pStyle w:val="ListBullet"/>
      </w:pPr>
      <w:r>
        <w:rPr>
          <w:sz w:val="19"/>
        </w:rPr>
        <w:t>[value priority 3]</w:t>
      </w:r>
    </w:p>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