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Financial Controls Framework Guide</w:t>
      </w:r>
    </w:p>
    <w:p>
      <w:r>
        <w:t>Outliers CFO Excellence Centre™  ·  Guide</w:t>
      </w:r>
    </w:p>
    <w:p>
      <w:r>
        <w:t>Edition 2026 · Nigeria · IFRS · FRC Nigeria · CAMA 2020 · NTA 2025</w:t>
      </w:r>
    </w:p>
    <w:p>
      <w:pPr>
        <w:pStyle w:val="Heading1"/>
      </w:pPr>
      <w:r>
        <w:t>Purpose</w:t>
      </w:r>
    </w:p>
    <w:p>
      <w:r>
        <w:t>This guide equips the CFO and senior finance leadership with a board-grade, Nigerian-context tool for Financial Controls Framework Guide. It operationalises the Outliers CFO Operating System™ and translates the discipline into a repeatable, auditable workflow.</w:t>
      </w:r>
    </w:p>
    <w:p>
      <w:pPr>
        <w:pStyle w:val="Heading1"/>
      </w:pPr>
      <w:r>
        <w:t>Who Should Use It</w:t>
      </w:r>
    </w:p>
    <w:p>
      <w:r>
        <w:t>CFO, Financial Controller, Head of FP&amp;A, Head of Treasury, Head of Tax, Finance Business Partners, Audit Committee Secretary, and Group Reporting Manager. Designed for mid- to large-cap Nigerian enterprises, but scalable to growth-stage and family-owned groups.</w:t>
      </w:r>
    </w:p>
    <w:p>
      <w:pPr>
        <w:pStyle w:val="Heading1"/>
      </w:pPr>
      <w:r>
        <w:t>When to Use It</w:t>
      </w:r>
    </w:p>
    <w:p>
      <w:r>
        <w:t>At onboarding of a new CFO, during the annual planning cycle, ahead of board / audit committee meetings, at the start of a finance transformation programme, and during post-incident reviews. Embed into the monthly CFO calendar.</w:t>
      </w:r>
    </w:p>
    <w:p>
      <w:pPr>
        <w:pStyle w:val="Heading1"/>
      </w:pPr>
      <w:r>
        <w:t>CFO &amp; Finance Leadership Context</w:t>
      </w:r>
    </w:p>
    <w:p>
      <w:r>
        <w:t>The CFO is the steward of capital, controls and credibility. This document is calibrated to the Nigerian operating environment — FX volatility, inflation pass-through, NRS compliance, IFRS judgements, FRC Nigeria 2018 code, CAMA 2020 reporting and the Nigeria Tax Act 2025 (NTA) transition — and provides the CFO with defensible artefacts for the board, regulators and external auditors.</w:t>
      </w:r>
    </w:p>
    <w:p>
      <w:pPr>
        <w:pStyle w:val="Heading1"/>
      </w:pPr>
      <w:r>
        <w:t>Step-by-Step Usage Guide</w:t>
      </w:r>
    </w:p>
    <w:p>
      <w:r>
        <w:t>1. Assign an owner and a delegate.</w:t>
      </w:r>
    </w:p>
    <w:p>
      <w:r>
        <w:t>2. Confirm scope, in-scope entities and reporting boundary.</w:t>
      </w:r>
    </w:p>
    <w:p>
      <w:r>
        <w:t>3. Populate the working sections with current-state data.</w:t>
      </w:r>
    </w:p>
    <w:p>
      <w:r>
        <w:t>4. Identify gaps against the Outliers maturity bands (Foundational → Strategic).</w:t>
      </w:r>
    </w:p>
    <w:p>
      <w:r>
        <w:t>5. Draft the remediation roadmap with owners and dates.</w:t>
      </w:r>
    </w:p>
    <w:p>
      <w:r>
        <w:t>6. Secure CFO sign-off, then ARC / Board endorsement.</w:t>
      </w:r>
    </w:p>
    <w:p>
      <w:r>
        <w:t>7. Embed into monthly cadence and CFO scorecard.</w:t>
      </w:r>
    </w:p>
    <w:p>
      <w:r>
        <w:t>8. Re-baseline at least annually or upon material change.</w:t>
      </w:r>
    </w:p>
    <w:p>
      <w:pPr>
        <w:pStyle w:val="Heading1"/>
      </w:pPr>
      <w:r>
        <w:t>Finance Governance &amp; Approval Workflow</w:t>
      </w:r>
    </w:p>
    <w:p>
      <w:r>
        <w:t>Originator: Finance line owner.  Reviewer: Financial Controller / Head of FP&amp;A.  Approver: CFO.  Endorser: Audit &amp; Risk Committee (where material).  Custodian: Office of the CFO.  Version control: maintained in the Finance Document Register; superseded versions retained for 7 years per CAMA 2020.</w:t>
      </w:r>
    </w:p>
    <w:p>
      <w:pPr>
        <w:pStyle w:val="Heading1"/>
      </w:pPr>
      <w:r>
        <w:t>Control &amp; Assurance Considerations</w:t>
      </w:r>
    </w:p>
    <w:p>
      <w:r>
        <w:t>Map each section to the Financial Controls Matrix. Tag preventive vs detective controls, evidence requirements and testing frequency. Coordinate with Internal Audit for combined assurance and with External Audit for ISA 315 walkthrough alignment.</w:t>
      </w:r>
    </w:p>
    <w:p>
      <w:pPr>
        <w:pStyle w:val="Heading1"/>
      </w:pPr>
      <w:r>
        <w:t>Review Frequency</w:t>
      </w:r>
    </w:p>
    <w:p>
      <w:r>
        <w:t>Monthly: operational sections.  Quarterly: governance and KPI sections.  Annually: full document refresh aligned to the budget calendar.  Event-driven: upon regulatory change, M&amp;A, system replacement or material control breach.</w:t>
      </w:r>
    </w:p>
    <w:p>
      <w:pPr>
        <w:pStyle w:val="Heading1"/>
      </w:pPr>
      <w:r>
        <w:t>Implementation Notes</w:t>
      </w:r>
    </w:p>
    <w:p>
      <w:r>
        <w:t>Pilot with one entity / business unit before group-wide rollout. Pair with the CFO Dashboard™ for KPI visibility and the 100-Point CFO Diagnostic for maturity tracking. Reference the Outliers Finance Transformation Roadmap when sequencing change.</w:t>
      </w:r>
    </w:p>
    <w:p>
      <w:pPr>
        <w:pStyle w:val="Heading1"/>
      </w:pPr>
      <w:r>
        <w:t>Sample Working Template</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t>Item</w:t>
            </w:r>
          </w:p>
        </w:tc>
        <w:tc>
          <w:tcPr>
            <w:tcW w:type="dxa" w:w="2160"/>
          </w:tcPr>
          <w:p>
            <w:r>
              <w:t>Owner</w:t>
            </w:r>
          </w:p>
        </w:tc>
        <w:tc>
          <w:tcPr>
            <w:tcW w:type="dxa" w:w="2160"/>
          </w:tcPr>
          <w:p>
            <w:r>
              <w:t>Status</w:t>
            </w:r>
          </w:p>
        </w:tc>
        <w:tc>
          <w:tcPr>
            <w:tcW w:type="dxa" w:w="2160"/>
          </w:tcPr>
          <w:p>
            <w:r>
              <w:t>Target Date</w:t>
            </w:r>
          </w:p>
        </w:tc>
      </w:tr>
      <w:tr>
        <w:tc>
          <w:tcPr>
            <w:tcW w:type="dxa" w:w="2160"/>
          </w:tcPr>
          <w:p>
            <w:r>
              <w:t>Define scope &amp; in-scope entities</w:t>
            </w:r>
          </w:p>
        </w:tc>
        <w:tc>
          <w:tcPr>
            <w:tcW w:type="dxa" w:w="2160"/>
          </w:tcPr>
          <w:p>
            <w:r>
              <w:t>CFO</w:t>
            </w:r>
          </w:p>
        </w:tc>
        <w:tc>
          <w:tcPr>
            <w:tcW w:type="dxa" w:w="2160"/>
          </w:tcPr>
          <w:p>
            <w:r>
              <w:t>In Progress</w:t>
            </w:r>
          </w:p>
        </w:tc>
        <w:tc>
          <w:tcPr>
            <w:tcW w:type="dxa" w:w="2160"/>
          </w:tcPr>
          <w:p>
            <w:r>
              <w:t>Month 1</w:t>
            </w:r>
          </w:p>
        </w:tc>
      </w:tr>
      <w:tr>
        <w:tc>
          <w:tcPr>
            <w:tcW w:type="dxa" w:w="2160"/>
          </w:tcPr>
          <w:p>
            <w:r>
              <w:t>Populate current-state baseline</w:t>
            </w:r>
          </w:p>
        </w:tc>
        <w:tc>
          <w:tcPr>
            <w:tcW w:type="dxa" w:w="2160"/>
          </w:tcPr>
          <w:p>
            <w:r>
              <w:t>Financial Controller</w:t>
            </w:r>
          </w:p>
        </w:tc>
        <w:tc>
          <w:tcPr>
            <w:tcW w:type="dxa" w:w="2160"/>
          </w:tcPr>
          <w:p>
            <w:r>
              <w:t>Pending</w:t>
            </w:r>
          </w:p>
        </w:tc>
        <w:tc>
          <w:tcPr>
            <w:tcW w:type="dxa" w:w="2160"/>
          </w:tcPr>
          <w:p>
            <w:r>
              <w:t>Month 2</w:t>
            </w:r>
          </w:p>
        </w:tc>
      </w:tr>
      <w:tr>
        <w:tc>
          <w:tcPr>
            <w:tcW w:type="dxa" w:w="2160"/>
          </w:tcPr>
          <w:p>
            <w:r>
              <w:t>Identify gaps vs maturity bands</w:t>
            </w:r>
          </w:p>
        </w:tc>
        <w:tc>
          <w:tcPr>
            <w:tcW w:type="dxa" w:w="2160"/>
          </w:tcPr>
          <w:p>
            <w:r>
              <w:t>Head of FP&amp;A</w:t>
            </w:r>
          </w:p>
        </w:tc>
        <w:tc>
          <w:tcPr>
            <w:tcW w:type="dxa" w:w="2160"/>
          </w:tcPr>
          <w:p>
            <w:r>
              <w:t>Pending</w:t>
            </w:r>
          </w:p>
        </w:tc>
        <w:tc>
          <w:tcPr>
            <w:tcW w:type="dxa" w:w="2160"/>
          </w:tcPr>
          <w:p>
            <w:r>
              <w:t>Month 2</w:t>
            </w:r>
          </w:p>
        </w:tc>
      </w:tr>
      <w:tr>
        <w:tc>
          <w:tcPr>
            <w:tcW w:type="dxa" w:w="2160"/>
          </w:tcPr>
          <w:p>
            <w:r>
              <w:t>Draft remediation roadmap</w:t>
            </w:r>
          </w:p>
        </w:tc>
        <w:tc>
          <w:tcPr>
            <w:tcW w:type="dxa" w:w="2160"/>
          </w:tcPr>
          <w:p>
            <w:r>
              <w:t>PMO</w:t>
            </w:r>
          </w:p>
        </w:tc>
        <w:tc>
          <w:tcPr>
            <w:tcW w:type="dxa" w:w="2160"/>
          </w:tcPr>
          <w:p>
            <w:r>
              <w:t>Pending</w:t>
            </w:r>
          </w:p>
        </w:tc>
        <w:tc>
          <w:tcPr>
            <w:tcW w:type="dxa" w:w="2160"/>
          </w:tcPr>
          <w:p>
            <w:r>
              <w:t>Month 3</w:t>
            </w:r>
          </w:p>
        </w:tc>
      </w:tr>
      <w:tr>
        <w:tc>
          <w:tcPr>
            <w:tcW w:type="dxa" w:w="2160"/>
          </w:tcPr>
          <w:p>
            <w:r>
              <w:t>Secure ARC endorsement</w:t>
            </w:r>
          </w:p>
        </w:tc>
        <w:tc>
          <w:tcPr>
            <w:tcW w:type="dxa" w:w="2160"/>
          </w:tcPr>
          <w:p>
            <w:r>
              <w:t>CFO</w:t>
            </w:r>
          </w:p>
        </w:tc>
        <w:tc>
          <w:tcPr>
            <w:tcW w:type="dxa" w:w="2160"/>
          </w:tcPr>
          <w:p>
            <w:r>
              <w:t>Pending</w:t>
            </w:r>
          </w:p>
        </w:tc>
        <w:tc>
          <w:tcPr>
            <w:tcW w:type="dxa" w:w="2160"/>
          </w:tcPr>
          <w:p>
            <w:r>
              <w:t>Quarter end</w:t>
            </w:r>
          </w:p>
        </w:tc>
      </w:tr>
    </w:tbl>
    <w:p/>
    <w:p>
      <w:r>
        <w:t>© Outliers Professionals · CFO Excellence Centre™ · Edition 2026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