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BUSINESS STRATEGY CENTRE™</w:t>
      </w:r>
    </w:p>
    <w:p>
      <w:pPr>
        <w:jc w:val="center"/>
      </w:pPr>
      <w:r>
        <w:rPr>
          <w:b/>
          <w:color w:val="10243F"/>
          <w:sz w:val="50"/>
        </w:rPr>
        <w:t>Enterprise Value Creation Toolkit™</w:t>
      </w:r>
    </w:p>
    <w:p>
      <w:pPr>
        <w:jc w:val="center"/>
      </w:pPr>
      <w:r>
        <w:rPr>
          <w:color w:val="C97B2C"/>
          <w:sz w:val="26"/>
        </w:rPr>
        <w:t>Maximise sustainable enterprise value</w:t>
      </w:r>
    </w:p>
    <w:p/>
    <w:p/>
    <w:p>
      <w:pPr>
        <w:jc w:val="center"/>
      </w:pPr>
      <w:r>
        <w:rPr>
          <w:color w:val="555555"/>
          <w:sz w:val="20"/>
        </w:rPr>
        <w:t>Board / CEO / CFO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Enterprise value creation maximises sustainable value for stakeholders. This toolkit identifies value drivers, links strategy to value, allocates capital to the best opportunities and governs value over time.</w:t>
      </w:r>
    </w:p>
    <w:p>
      <w:pPr>
        <w:pStyle w:val="Heading2"/>
      </w:pPr>
      <w:r>
        <w:t>Operating lifecycle</w:t>
      </w:r>
    </w:p>
    <w:p>
      <w:pPr>
        <w:pStyle w:val="ListNumber"/>
      </w:pPr>
      <w:r>
        <w:rPr>
          <w:sz w:val="19"/>
        </w:rPr>
        <w:t>Identify — the value drivers that matter most</w:t>
      </w:r>
    </w:p>
    <w:p>
      <w:pPr>
        <w:pStyle w:val="ListNumber"/>
      </w:pPr>
      <w:r>
        <w:rPr>
          <w:sz w:val="19"/>
        </w:rPr>
        <w:t>Link — strategy and initiatives to value</w:t>
      </w:r>
    </w:p>
    <w:p>
      <w:pPr>
        <w:pStyle w:val="ListNumber"/>
      </w:pPr>
      <w:r>
        <w:rPr>
          <w:sz w:val="19"/>
        </w:rPr>
        <w:t>Allocate — capital to the highest-return opportunities</w:t>
      </w:r>
    </w:p>
    <w:p>
      <w:pPr>
        <w:pStyle w:val="ListNumber"/>
      </w:pPr>
      <w:r>
        <w:rPr>
          <w:sz w:val="19"/>
        </w:rPr>
        <w:t>Track — performance, returns and value</w:t>
      </w:r>
    </w:p>
    <w:p>
      <w:pPr>
        <w:pStyle w:val="ListNumber"/>
      </w:pPr>
      <w:r>
        <w:rPr>
          <w:sz w:val="19"/>
        </w:rPr>
        <w:t>Govern — value creation over time</w:t>
      </w:r>
    </w:p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Initial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Developing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Defined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Managed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Optimised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 hoc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Some structure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Managed &amp; measured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Adaptive &amp; advantage-creating</w:t>
            </w:r>
          </w:p>
        </w:tc>
      </w:tr>
    </w:tbl>
    <w:p>
      <w:pPr>
        <w:pStyle w:val="Heading2"/>
      </w:pPr>
      <w:r>
        <w:t>Key components</w:t>
      </w:r>
    </w:p>
    <w:p>
      <w:pPr>
        <w:pStyle w:val="ListBullet"/>
      </w:pPr>
      <w:r>
        <w:rPr>
          <w:sz w:val="19"/>
        </w:rPr>
        <w:t>Value drivers</w:t>
      </w:r>
    </w:p>
    <w:p>
      <w:pPr>
        <w:pStyle w:val="ListBullet"/>
      </w:pPr>
      <w:r>
        <w:rPr>
          <w:sz w:val="19"/>
        </w:rPr>
        <w:t>Strategy-to-value link</w:t>
      </w:r>
    </w:p>
    <w:p>
      <w:pPr>
        <w:pStyle w:val="ListBullet"/>
      </w:pPr>
      <w:r>
        <w:rPr>
          <w:sz w:val="19"/>
        </w:rPr>
        <w:t>Capital allocation</w:t>
      </w:r>
    </w:p>
    <w:p>
      <w:pPr>
        <w:pStyle w:val="ListBullet"/>
      </w:pPr>
      <w:r>
        <w:rPr>
          <w:sz w:val="19"/>
        </w:rPr>
        <w:t>Performance &amp; returns</w:t>
      </w:r>
    </w:p>
    <w:p>
      <w:pPr>
        <w:pStyle w:val="ListBullet"/>
      </w:pPr>
      <w:r>
        <w:rPr>
          <w:sz w:val="19"/>
        </w:rPr>
        <w:t>Stakeholder value</w:t>
      </w:r>
    </w:p>
    <w:p>
      <w:pPr>
        <w:pStyle w:val="ListBullet"/>
      </w:pPr>
      <w:r>
        <w:rPr>
          <w:sz w:val="19"/>
        </w:rPr>
        <w:t>Value governance</w:t>
      </w:r>
    </w:p>
    <w:p>
      <w:pPr>
        <w:pStyle w:val="Heading1"/>
      </w:pPr>
      <w:r>
        <w:t>2. Templates</w:t>
      </w:r>
    </w:p>
    <w:p>
      <w:pPr>
        <w:pStyle w:val="Heading3"/>
      </w:pPr>
      <w:r>
        <w:t>Value driver tree template</w:t>
      </w:r>
    </w:p>
    <w:p>
      <w:r>
        <w:rPr>
          <w:b w:val="0"/>
          <w:i w:val="0"/>
          <w:sz w:val="19"/>
        </w:rPr>
        <w:t>Decompose enterprise value into drivers.</w:t>
      </w:r>
    </w:p>
    <w:p>
      <w:pPr>
        <w:pStyle w:val="Heading3"/>
      </w:pPr>
      <w:r>
        <w:t>Value creation plan template</w:t>
      </w:r>
    </w:p>
    <w:p>
      <w:r>
        <w:rPr>
          <w:b w:val="0"/>
          <w:i w:val="0"/>
          <w:sz w:val="19"/>
        </w:rPr>
        <w:t>Plan the moves that create value.</w:t>
      </w:r>
    </w:p>
    <w:p>
      <w:pPr>
        <w:pStyle w:val="Heading3"/>
      </w:pPr>
      <w:r>
        <w:t>Capital allocation framework guide</w:t>
      </w:r>
    </w:p>
    <w:p>
      <w:r>
        <w:rPr>
          <w:b w:val="0"/>
          <w:i w:val="0"/>
          <w:sz w:val="19"/>
        </w:rPr>
        <w:t>Allocate capital to the best opportunities.</w:t>
      </w:r>
    </w:p>
    <w:p>
      <w:pPr>
        <w:pStyle w:val="Heading3"/>
      </w:pPr>
      <w:r>
        <w:t>Portfolio prioritisation matrix</w:t>
      </w:r>
    </w:p>
    <w:p>
      <w:r>
        <w:rPr>
          <w:b w:val="0"/>
          <w:i w:val="0"/>
          <w:sz w:val="19"/>
        </w:rPr>
        <w:t>Prioritise initiatives by value and risk.</w:t>
      </w:r>
    </w:p>
    <w:p>
      <w:pPr>
        <w:pStyle w:val="Heading1"/>
      </w:pPr>
      <w:r>
        <w:t>3. Sample Output</w:t>
      </w:r>
    </w:p>
    <w:p>
      <w:r>
        <w:rPr>
          <w:b w:val="0"/>
          <w:i/>
          <w:sz w:val="19"/>
        </w:rPr>
        <w:t>Illustrative value drivers (from the Enterprise Value Creation Dashboard):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Value driver</w:t>
            </w:r>
          </w:p>
        </w:tc>
        <w:tc>
          <w:tcPr>
            <w:tcW w:type="dxa" w:w="32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Progress to target</w:t>
            </w:r>
          </w:p>
        </w:tc>
        <w:tc>
          <w:tcPr>
            <w:tcW w:type="dxa" w:w="32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</w:tr>
      <w:tr>
        <w:tc>
          <w:tcPr>
            <w:tcW w:type="dxa" w:w="3264"/>
          </w:tcPr>
          <w:p>
            <w:r/>
            <w:r>
              <w:rPr>
                <w:rFonts w:ascii="Arial" w:hAnsi="Arial"/>
                <w:b w:val="0"/>
                <w:sz w:val="16"/>
              </w:rPr>
              <w:t>Revenue growth</w:t>
            </w:r>
          </w:p>
        </w:tc>
        <w:tc>
          <w:tcPr>
            <w:tcW w:type="dxa" w:w="3264"/>
          </w:tcPr>
          <w:p>
            <w:r/>
            <w:r>
              <w:rPr>
                <w:rFonts w:ascii="Arial" w:hAnsi="Arial"/>
                <w:b w:val="0"/>
                <w:sz w:val="16"/>
              </w:rPr>
              <w:t>40%</w:t>
            </w:r>
          </w:p>
        </w:tc>
        <w:tc>
          <w:tcPr>
            <w:tcW w:type="dxa" w:w="3264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32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Margin</w:t>
            </w:r>
          </w:p>
        </w:tc>
        <w:tc>
          <w:tcPr>
            <w:tcW w:type="dxa" w:w="32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33%</w:t>
            </w:r>
          </w:p>
        </w:tc>
        <w:tc>
          <w:tcPr>
            <w:tcW w:type="dxa" w:w="3264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3264"/>
          </w:tcPr>
          <w:p>
            <w:r/>
            <w:r>
              <w:rPr>
                <w:rFonts w:ascii="Arial" w:hAnsi="Arial"/>
                <w:b w:val="0"/>
                <w:sz w:val="16"/>
              </w:rPr>
              <w:t>Capital efficiency (ROIC)</w:t>
            </w:r>
          </w:p>
        </w:tc>
        <w:tc>
          <w:tcPr>
            <w:tcW w:type="dxa" w:w="3264"/>
          </w:tcPr>
          <w:p>
            <w:r/>
            <w:r>
              <w:rPr>
                <w:rFonts w:ascii="Arial" w:hAnsi="Arial"/>
                <w:b w:val="0"/>
                <w:sz w:val="16"/>
              </w:rPr>
              <w:t>25%</w:t>
            </w:r>
          </w:p>
        </w:tc>
        <w:tc>
          <w:tcPr>
            <w:tcW w:type="dxa" w:w="3264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32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Customer value</w:t>
            </w:r>
          </w:p>
        </w:tc>
        <w:tc>
          <w:tcPr>
            <w:tcW w:type="dxa" w:w="32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50%</w:t>
            </w:r>
          </w:p>
        </w:tc>
        <w:tc>
          <w:tcPr>
            <w:tcW w:type="dxa" w:w="3264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</w:tr>
    </w:tbl>
    <w:p>
      <w:pPr>
        <w:pStyle w:val="Heading1"/>
      </w:pPr>
      <w:r>
        <w:t>4. Checklists</w:t>
      </w:r>
    </w:p>
    <w:p>
      <w:pPr>
        <w:ind w:left="288"/>
      </w:pPr>
      <w:r>
        <w:rPr>
          <w:sz w:val="19"/>
        </w:rPr>
        <w:t>☐  Value drivers identified and owned</w:t>
      </w:r>
    </w:p>
    <w:p>
      <w:pPr>
        <w:ind w:left="288"/>
      </w:pPr>
      <w:r>
        <w:rPr>
          <w:sz w:val="19"/>
        </w:rPr>
        <w:t>☐  Strategy explicitly linked to value</w:t>
      </w:r>
    </w:p>
    <w:p>
      <w:pPr>
        <w:ind w:left="288"/>
      </w:pPr>
      <w:r>
        <w:rPr>
          <w:sz w:val="19"/>
        </w:rPr>
        <w:t>☐  Capital allocated to the best opportunities</w:t>
      </w:r>
    </w:p>
    <w:p>
      <w:pPr>
        <w:ind w:left="288"/>
      </w:pPr>
      <w:r>
        <w:rPr>
          <w:sz w:val="19"/>
        </w:rPr>
        <w:t>☐  Performance and returns tracked against hurdle</w:t>
      </w:r>
    </w:p>
    <w:p>
      <w:pPr>
        <w:ind w:left="288"/>
      </w:pPr>
      <w:r>
        <w:rPr>
          <w:sz w:val="19"/>
        </w:rPr>
        <w:t>☐  Stakeholder value considered</w:t>
      </w:r>
    </w:p>
    <w:p>
      <w:pPr>
        <w:ind w:left="288"/>
      </w:pPr>
      <w:r>
        <w:rPr>
          <w:sz w:val="19"/>
        </w:rPr>
        <w:t>☐  Value creation governed over time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Value creation is governed by the board and CEO, with the CFO quantifying value and returns: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45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80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Board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Approves strategy and capital; oversees value creation and strategic risk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Strategy / Executive Committee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Owns strategy, prioritises, governs execution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Strategy office / PMO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Runs the cycle, tracks initiatives, maintains the system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Business-unit leaders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Own strategy and delivery in their units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Initiative owners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Deliver initiatives to plan, KPIs and milestones</w:t>
            </w:r>
          </w:p>
        </w:tc>
      </w:tr>
    </w:tbl>
    <w:p>
      <w:pPr>
        <w:pStyle w:val="Heading2"/>
      </w:pPr>
      <w:r>
        <w:t>Reporting Example</w:t>
      </w:r>
    </w:p>
    <w:p>
      <w:r>
        <w:rPr>
          <w:b w:val="0"/>
          <w:i w:val="0"/>
          <w:sz w:val="19"/>
        </w:rPr>
        <w:t>Standard report: executive summary · progress vs target (RAG) · key metrics · risks &amp; decisions.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Metric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Enterprise value trend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Rising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Rising</w:t>
            </w:r>
          </w:p>
        </w:tc>
        <w:tc>
          <w:tcPr>
            <w:tcW w:type="dxa" w:w="1152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ROIC vs hurdle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11%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≥14%</w:t>
            </w:r>
          </w:p>
        </w:tc>
        <w:tc>
          <w:tcPr>
            <w:tcW w:type="dxa" w:w="1152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Improve capital efficiency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Capital allocation alignment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70%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≥80%</w:t>
            </w:r>
          </w:p>
        </w:tc>
        <w:tc>
          <w:tcPr>
            <w:tcW w:type="dxa" w:w="1152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Re-allocate to top bets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Value plan delivery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On plan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On plan</w:t>
            </w:r>
          </w:p>
        </w:tc>
        <w:tc>
          <w:tcPr>
            <w:tcW w:type="dxa" w:w="1152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</w:tbl>
    <w:p>
      <w:pPr>
        <w:pStyle w:val="Heading2"/>
      </w:pPr>
      <w:r>
        <w:t>Board Reporting Section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Value creation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Value rising but returns below hurdle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Capital allocation</w:t>
            </w:r>
          </w:p>
        </w:tc>
        <w:tc>
          <w:tcPr>
            <w:tcW w:type="dxa" w:w="1440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Not fully aligned to top opportunities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Returns</w:t>
            </w:r>
          </w:p>
        </w:tc>
        <w:tc>
          <w:tcPr>
            <w:tcW w:type="dxa" w:w="1440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ROIC below hurdle rate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 capital re-allocation to highest-return initiatives</w:t>
            </w:r>
          </w:p>
        </w:tc>
      </w:tr>
    </w:tbl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resource. Calibrate frameworks, scoring, KPIs and governance to your organisation, sector and strategy. Targets and thresholds are illustrative and should be set by leadership.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