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CFO Executive Briefing Pack</w:t>
      </w:r>
    </w:p>
    <w:p>
      <w:pPr>
        <w:jc w:val="center"/>
      </w:pPr>
      <w:r>
        <w:rPr>
          <w:color w:val="C97B2C"/>
          <w:sz w:val="26"/>
        </w:rPr>
        <w:t>A concise finance brief for the executive</w:t>
      </w:r>
    </w:p>
    <w:p/>
    <w:p/>
    <w:p>
      <w:pPr>
        <w:jc w:val="center"/>
      </w:pPr>
      <w:r>
        <w:rPr>
          <w:color w:val="555555"/>
          <w:sz w:val="20"/>
        </w:rPr>
        <w:t>CFO / Executive Team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Finance on a Page</w:t>
      </w:r>
    </w:p>
    <w:tbl>
      <w:tblPr>
        <w:tblStyle w:val="TableGrid"/>
        <w:tblW w:type="auto" w:w="0"/>
        <w:jc w:val="center"/>
        <w:tblLook w:firstColumn="1" w:firstRow="1" w:lastColumn="0" w:lastRow="0" w:noHBand="0" w:noVBand="1" w:val="04A0"/>
      </w:tblPr>
      <w:tblGrid>
        <w:gridCol w:w="4896"/>
        <w:gridCol w:w="4896"/>
      </w:tblGrid>
      <w:tr>
        <w:tc>
          <w:tcPr>
            <w:tcW w:type="dxa" w:w="2304"/>
            <w:shd w:val="clear" w:fill="1B4D89"/>
          </w:tcPr>
          <w:p>
            <w:r/>
            <w:r>
              <w:rPr>
                <w:rFonts w:ascii="Arial" w:hAnsi="Arial"/>
                <w:b/>
                <w:color w:val="FFFFFF"/>
                <w:sz w:val="16"/>
              </w:rPr>
              <w:t>Element</w:t>
            </w:r>
          </w:p>
        </w:tc>
        <w:tc>
          <w:tcPr>
            <w:tcW w:type="dxa" w:w="9216"/>
            <w:shd w:val="clear" w:fill="1B4D89"/>
          </w:tcPr>
          <w:p>
            <w:r/>
            <w:r>
              <w:rPr>
                <w:rFonts w:ascii="Arial" w:hAnsi="Arial"/>
                <w:b/>
                <w:color w:val="FFFFFF"/>
                <w:sz w:val="16"/>
              </w:rPr>
              <w:t>Summary</w:t>
            </w:r>
          </w:p>
        </w:tc>
      </w:tr>
      <w:tr>
        <w:tc>
          <w:tcPr>
            <w:tcW w:type="dxa" w:w="2304"/>
          </w:tcPr>
          <w:p>
            <w:r/>
            <w:r>
              <w:rPr>
                <w:rFonts w:ascii="Arial" w:hAnsi="Arial"/>
                <w:b w:val="0"/>
                <w:sz w:val="16"/>
              </w:rPr>
              <w:t>Performance</w:t>
            </w:r>
          </w:p>
        </w:tc>
        <w:tc>
          <w:tcPr>
            <w:tcW w:type="dxa" w:w="9216"/>
          </w:tcPr>
          <w:p>
            <w:r/>
            <w:r>
              <w:rPr>
                <w:rFonts w:ascii="Arial" w:hAnsi="Arial"/>
                <w:b w:val="0"/>
                <w:sz w:val="16"/>
              </w:rPr>
              <w:t>[revenue, margin vs plan]</w:t>
            </w:r>
          </w:p>
        </w:tc>
      </w:tr>
      <w:tr>
        <w:tc>
          <w:tcPr>
            <w:tcW w:type="dxa" w:w="2304"/>
            <w:shd w:val="clear" w:fill="F4F7FB"/>
          </w:tcPr>
          <w:p>
            <w:r/>
            <w:r>
              <w:rPr>
                <w:rFonts w:ascii="Arial" w:hAnsi="Arial"/>
                <w:b w:val="0"/>
                <w:sz w:val="16"/>
              </w:rPr>
              <w:t>Cash</w:t>
            </w:r>
          </w:p>
        </w:tc>
        <w:tc>
          <w:tcPr>
            <w:tcW w:type="dxa" w:w="9216"/>
            <w:shd w:val="clear" w:fill="F4F7FB"/>
          </w:tcPr>
          <w:p>
            <w:r/>
            <w:r>
              <w:rPr>
                <w:rFonts w:ascii="Arial" w:hAnsi="Arial"/>
                <w:b w:val="0"/>
                <w:sz w:val="16"/>
              </w:rPr>
              <w:t>[cash position &amp; forecast]</w:t>
            </w:r>
          </w:p>
        </w:tc>
      </w:tr>
      <w:tr>
        <w:tc>
          <w:tcPr>
            <w:tcW w:type="dxa" w:w="2304"/>
          </w:tcPr>
          <w:p>
            <w:r/>
            <w:r>
              <w:rPr>
                <w:rFonts w:ascii="Arial" w:hAnsi="Arial"/>
                <w:b w:val="0"/>
                <w:sz w:val="16"/>
              </w:rPr>
              <w:t>Capital</w:t>
            </w:r>
          </w:p>
        </w:tc>
        <w:tc>
          <w:tcPr>
            <w:tcW w:type="dxa" w:w="9216"/>
          </w:tcPr>
          <w:p>
            <w:r/>
            <w:r>
              <w:rPr>
                <w:rFonts w:ascii="Arial" w:hAnsi="Arial"/>
                <w:b w:val="0"/>
                <w:sz w:val="16"/>
              </w:rPr>
              <w:t>[ROIC, capital allocation]</w:t>
            </w:r>
          </w:p>
        </w:tc>
      </w:tr>
      <w:tr>
        <w:tc>
          <w:tcPr>
            <w:tcW w:type="dxa" w:w="2304"/>
            <w:shd w:val="clear" w:fill="F4F7FB"/>
          </w:tcPr>
          <w:p>
            <w:r/>
            <w:r>
              <w:rPr>
                <w:rFonts w:ascii="Arial" w:hAnsi="Arial"/>
                <w:b w:val="0"/>
                <w:sz w:val="16"/>
              </w:rPr>
              <w:t>Risk</w:t>
            </w:r>
          </w:p>
        </w:tc>
        <w:tc>
          <w:tcPr>
            <w:tcW w:type="dxa" w:w="9216"/>
            <w:shd w:val="clear" w:fill="F4F7FB"/>
          </w:tcPr>
          <w:p>
            <w:r/>
            <w:r>
              <w:rPr>
                <w:rFonts w:ascii="Arial" w:hAnsi="Arial"/>
                <w:b w:val="0"/>
                <w:sz w:val="16"/>
              </w:rPr>
              <w:t>[top financial risks]</w:t>
            </w:r>
          </w:p>
        </w:tc>
      </w:tr>
      <w:tr>
        <w:tc>
          <w:tcPr>
            <w:tcW w:type="dxa" w:w="2304"/>
          </w:tcPr>
          <w:p>
            <w:r/>
            <w:r>
              <w:rPr>
                <w:rFonts w:ascii="Arial" w:hAnsi="Arial"/>
                <w:b w:val="0"/>
                <w:sz w:val="16"/>
              </w:rPr>
              <w:t>Priorities</w:t>
            </w:r>
          </w:p>
        </w:tc>
        <w:tc>
          <w:tcPr>
            <w:tcW w:type="dxa" w:w="9216"/>
          </w:tcPr>
          <w:p>
            <w:r/>
            <w:r>
              <w:rPr>
                <w:rFonts w:ascii="Arial" w:hAnsi="Arial"/>
                <w:b w:val="0"/>
                <w:sz w:val="16"/>
              </w:rPr>
              <w:t>[top finance priorities]</w:t>
            </w:r>
          </w:p>
        </w:tc>
      </w:tr>
    </w:tbl>
    <w:p>
      <w:pPr>
        <w:pStyle w:val="Heading1"/>
      </w:pPr>
      <w:r>
        <w:t>2. Finance Health (example)</w:t>
      </w:r>
    </w:p>
    <w:tbl>
      <w:tblPr>
        <w:tblStyle w:val="TableGrid"/>
        <w:tblW w:type="auto" w:w="0"/>
        <w:jc w:val="center"/>
        <w:tblLook w:firstColumn="1" w:firstRow="1" w:lastColumn="0" w:lastRow="0" w:noHBand="0" w:noVBand="1" w:val="04A0"/>
      </w:tblPr>
      <w:tblGrid>
        <w:gridCol w:w="3264"/>
        <w:gridCol w:w="3264"/>
        <w:gridCol w:w="3264"/>
      </w:tblGrid>
      <w:tr>
        <w:tc>
          <w:tcPr>
            <w:tcW w:type="dxa" w:w="2592"/>
            <w:shd w:val="clear" w:fill="1B4D89"/>
          </w:tcPr>
          <w:p>
            <w:r/>
            <w:r>
              <w:rPr>
                <w:rFonts w:ascii="Arial" w:hAnsi="Arial"/>
                <w:b/>
                <w:color w:val="FFFFFF"/>
                <w:sz w:val="16"/>
              </w:rPr>
              <w:t>Dimension</w:t>
            </w:r>
          </w:p>
        </w:tc>
        <w:tc>
          <w:tcPr>
            <w:tcW w:type="dxa" w:w="1440"/>
            <w:shd w:val="clear" w:fill="1B4D89"/>
          </w:tcPr>
          <w:p>
            <w:r/>
            <w:r>
              <w:rPr>
                <w:rFonts w:ascii="Arial" w:hAnsi="Arial"/>
                <w:b/>
                <w:color w:val="FFFFFF"/>
                <w:sz w:val="16"/>
              </w:rPr>
              <w:t>Status</w:t>
            </w:r>
          </w:p>
        </w:tc>
        <w:tc>
          <w:tcPr>
            <w:tcW w:type="dxa" w:w="7488"/>
            <w:shd w:val="clear" w:fill="1B4D89"/>
          </w:tcPr>
          <w:p>
            <w:r/>
            <w:r>
              <w:rPr>
                <w:rFonts w:ascii="Arial" w:hAnsi="Arial"/>
                <w:b/>
                <w:color w:val="FFFFFF"/>
                <w:sz w:val="16"/>
              </w:rPr>
              <w:t>Note</w:t>
            </w:r>
          </w:p>
        </w:tc>
      </w:tr>
      <w:tr>
        <w:tc>
          <w:tcPr>
            <w:tcW w:type="dxa" w:w="2592"/>
          </w:tcPr>
          <w:p>
            <w:r/>
            <w:r>
              <w:rPr>
                <w:rFonts w:ascii="Arial" w:hAnsi="Arial"/>
                <w:b w:val="0"/>
                <w:sz w:val="16"/>
              </w:rPr>
              <w:t>Performance</w:t>
            </w:r>
          </w:p>
        </w:tc>
        <w:tc>
          <w:tcPr>
            <w:tcW w:type="dxa" w:w="1440"/>
            <w:shd w:val="clear" w:fill="E08A2B"/>
          </w:tcPr>
          <w:p>
            <w:pPr>
              <w:jc w:val="center"/>
            </w:pPr>
            <w:r/>
            <w:r>
              <w:rPr>
                <w:rFonts w:ascii="Arial" w:hAnsi="Arial"/>
                <w:b/>
                <w:color w:val="FFFFFF"/>
                <w:sz w:val="16"/>
              </w:rPr>
              <w:t>Amber</w:t>
            </w:r>
          </w:p>
        </w:tc>
        <w:tc>
          <w:tcPr>
            <w:tcW w:type="dxa" w:w="7488"/>
          </w:tcPr>
          <w:p>
            <w:r/>
            <w:r>
              <w:rPr>
                <w:rFonts w:ascii="Arial" w:hAnsi="Arial"/>
                <w:b w:val="0"/>
                <w:sz w:val="16"/>
              </w:rPr>
              <w:t>Revenue &amp; margin behind plan</w:t>
            </w:r>
          </w:p>
        </w:tc>
      </w:tr>
      <w:tr>
        <w:tc>
          <w:tcPr>
            <w:tcW w:type="dxa" w:w="2592"/>
            <w:shd w:val="clear" w:fill="F4F7FB"/>
          </w:tcPr>
          <w:p>
            <w:r/>
            <w:r>
              <w:rPr>
                <w:rFonts w:ascii="Arial" w:hAnsi="Arial"/>
                <w:b w:val="0"/>
                <w:sz w:val="16"/>
              </w:rPr>
              <w:t>Cash &amp; liquidity</w:t>
            </w:r>
          </w:p>
        </w:tc>
        <w:tc>
          <w:tcPr>
            <w:tcW w:type="dxa" w:w="1440"/>
            <w:shd w:val="clear" w:fill="F4F7FB"/>
            <w:shd w:val="clear" w:fill="2E7D5B"/>
          </w:tcPr>
          <w:p>
            <w:pPr>
              <w:jc w:val="center"/>
            </w:pPr>
            <w:r/>
            <w:r>
              <w:rPr>
                <w:rFonts w:ascii="Arial" w:hAnsi="Arial"/>
                <w:b/>
                <w:color w:val="FFFFFF"/>
                <w:sz w:val="16"/>
              </w:rPr>
              <w:t>Green</w:t>
            </w:r>
          </w:p>
        </w:tc>
        <w:tc>
          <w:tcPr>
            <w:tcW w:type="dxa" w:w="7488"/>
            <w:shd w:val="clear" w:fill="F4F7FB"/>
          </w:tcPr>
          <w:p>
            <w:r/>
            <w:r>
              <w:rPr>
                <w:rFonts w:ascii="Arial" w:hAnsi="Arial"/>
                <w:b w:val="0"/>
                <w:sz w:val="16"/>
              </w:rPr>
              <w:t>Strong position</w:t>
            </w:r>
          </w:p>
        </w:tc>
      </w:tr>
      <w:tr>
        <w:tc>
          <w:tcPr>
            <w:tcW w:type="dxa" w:w="2592"/>
          </w:tcPr>
          <w:p>
            <w:r/>
            <w:r>
              <w:rPr>
                <w:rFonts w:ascii="Arial" w:hAnsi="Arial"/>
                <w:b w:val="0"/>
                <w:sz w:val="16"/>
              </w:rPr>
              <w:t>Capital efficiency</w:t>
            </w:r>
          </w:p>
        </w:tc>
        <w:tc>
          <w:tcPr>
            <w:tcW w:type="dxa" w:w="1440"/>
            <w:shd w:val="clear" w:fill="B23A48"/>
          </w:tcPr>
          <w:p>
            <w:pPr>
              <w:jc w:val="center"/>
            </w:pPr>
            <w:r/>
            <w:r>
              <w:rPr>
                <w:rFonts w:ascii="Arial" w:hAnsi="Arial"/>
                <w:b/>
                <w:color w:val="FFFFFF"/>
                <w:sz w:val="16"/>
              </w:rPr>
              <w:t>Red</w:t>
            </w:r>
          </w:p>
        </w:tc>
        <w:tc>
          <w:tcPr>
            <w:tcW w:type="dxa" w:w="7488"/>
          </w:tcPr>
          <w:p>
            <w:r/>
            <w:r>
              <w:rPr>
                <w:rFonts w:ascii="Arial" w:hAnsi="Arial"/>
                <w:b w:val="0"/>
                <w:sz w:val="16"/>
              </w:rPr>
              <w:t>ROIC below hurdle</w:t>
            </w:r>
          </w:p>
        </w:tc>
      </w:tr>
      <w:tr>
        <w:tc>
          <w:tcPr>
            <w:tcW w:type="dxa" w:w="2592"/>
            <w:shd w:val="clear" w:fill="F4F7FB"/>
          </w:tcPr>
          <w:p>
            <w:r/>
            <w:r>
              <w:rPr>
                <w:rFonts w:ascii="Arial" w:hAnsi="Arial"/>
                <w:b w:val="0"/>
                <w:sz w:val="16"/>
              </w:rPr>
              <w:t>Controls</w:t>
            </w:r>
          </w:p>
        </w:tc>
        <w:tc>
          <w:tcPr>
            <w:tcW w:type="dxa" w:w="1440"/>
            <w:shd w:val="clear" w:fill="F4F7FB"/>
            <w:shd w:val="clear" w:fill="2E7D5B"/>
          </w:tcPr>
          <w:p>
            <w:pPr>
              <w:jc w:val="center"/>
            </w:pPr>
            <w:r/>
            <w:r>
              <w:rPr>
                <w:rFonts w:ascii="Arial" w:hAnsi="Arial"/>
                <w:b/>
                <w:color w:val="FFFFFF"/>
                <w:sz w:val="16"/>
              </w:rPr>
              <w:t>Green</w:t>
            </w:r>
          </w:p>
        </w:tc>
        <w:tc>
          <w:tcPr>
            <w:tcW w:type="dxa" w:w="7488"/>
            <w:shd w:val="clear" w:fill="F4F7FB"/>
          </w:tcPr>
          <w:p>
            <w:r/>
            <w:r>
              <w:rPr>
                <w:rFonts w:ascii="Arial" w:hAnsi="Arial"/>
                <w:b w:val="0"/>
                <w:sz w:val="16"/>
              </w:rPr>
              <w:t>Effective</w:t>
            </w:r>
          </w:p>
        </w:tc>
      </w:tr>
      <w:tr>
        <w:tc>
          <w:tcPr>
            <w:tcW w:type="dxa" w:w="2592"/>
          </w:tcPr>
          <w:p>
            <w:r/>
            <w:r>
              <w:rPr>
                <w:rFonts w:ascii="Arial" w:hAnsi="Arial"/>
                <w:b w:val="0"/>
                <w:sz w:val="16"/>
              </w:rPr>
              <w:t>FP&amp;A</w:t>
            </w:r>
          </w:p>
        </w:tc>
        <w:tc>
          <w:tcPr>
            <w:tcW w:type="dxa" w:w="1440"/>
            <w:shd w:val="clear" w:fill="E08A2B"/>
          </w:tcPr>
          <w:p>
            <w:pPr>
              <w:jc w:val="center"/>
            </w:pPr>
            <w:r/>
            <w:r>
              <w:rPr>
                <w:rFonts w:ascii="Arial" w:hAnsi="Arial"/>
                <w:b/>
                <w:color w:val="FFFFFF"/>
                <w:sz w:val="16"/>
              </w:rPr>
              <w:t>Amber</w:t>
            </w:r>
          </w:p>
        </w:tc>
        <w:tc>
          <w:tcPr>
            <w:tcW w:type="dxa" w:w="7488"/>
          </w:tcPr>
          <w:p>
            <w:r/>
            <w:r>
              <w:rPr>
                <w:rFonts w:ascii="Arial" w:hAnsi="Arial"/>
                <w:b w:val="0"/>
                <w:sz w:val="16"/>
              </w:rPr>
              <w:t>Forecast accuracy improving</w:t>
            </w:r>
          </w:p>
        </w:tc>
      </w:tr>
    </w:tbl>
    <w:p>
      <w:pPr>
        <w:pStyle w:val="Heading1"/>
      </w:pPr>
      <w:r>
        <w:t>3. What Needs Executive Attention</w:t>
      </w:r>
    </w:p>
    <w:p>
      <w:pPr>
        <w:pStyle w:val="ListBullet"/>
      </w:pPr>
      <w:r>
        <w:rPr>
          <w:sz w:val="19"/>
        </w:rPr>
        <w:t>Margin recovery to hit EBITDA plan</w:t>
      </w:r>
    </w:p>
    <w:p>
      <w:pPr>
        <w:pStyle w:val="ListBullet"/>
      </w:pPr>
      <w:r>
        <w:rPr>
          <w:sz w:val="19"/>
        </w:rPr>
        <w:t>Capital re-allocation toward higher-return investments</w:t>
      </w:r>
    </w:p>
    <w:p>
      <w:pPr>
        <w:pStyle w:val="ListBullet"/>
      </w:pPr>
      <w:r>
        <w:rPr>
          <w:sz w:val="19"/>
        </w:rPr>
        <w:t>Working-capital release to free cash</w:t>
      </w:r>
    </w:p>
    <w:p>
      <w:pPr>
        <w:pStyle w:val="ListBullet"/>
      </w:pPr>
      <w:r>
        <w:rPr>
          <w:sz w:val="19"/>
        </w:rPr>
        <w:t>Forecast accuracy improvement</w:t>
      </w:r>
    </w:p>
    <w:p>
      <w:pPr>
        <w:pStyle w:val="Heading1"/>
      </w:pPr>
      <w:r>
        <w:t>4. Decisions This Period</w:t>
      </w:r>
    </w:p>
    <w:p>
      <w:pPr>
        <w:pStyle w:val="ListBullet"/>
      </w:pPr>
      <w:r>
        <w:rPr>
          <w:sz w:val="19"/>
        </w:rPr>
        <w:t>Approve margin-recovery actions</w:t>
      </w:r>
    </w:p>
    <w:p>
      <w:pPr>
        <w:pStyle w:val="ListBullet"/>
      </w:pPr>
      <w:r>
        <w:rPr>
          <w:sz w:val="19"/>
        </w:rPr>
        <w:t>Approve capital re-allocation</w:t>
      </w:r>
    </w:p>
    <w:p>
      <w:pPr>
        <w:pStyle w:val="ListBullet"/>
      </w:pPr>
      <w:r>
        <w:rPr>
          <w:sz w:val="19"/>
        </w:rPr>
        <w:t>Approve working-capital programme</w:t>
      </w:r>
    </w:p>
    <w:p>
      <w:pPr>
        <w:pStyle w:val="Heading1"/>
      </w:pPr>
      <w:r>
        <w:t>5. The Next 90 Days</w:t>
      </w:r>
    </w:p>
    <w:tbl>
      <w:tblPr>
        <w:tblStyle w:val="TableGrid"/>
        <w:tblW w:type="auto" w:w="0"/>
        <w:jc w:val="center"/>
        <w:tblLook w:firstColumn="1" w:firstRow="1" w:lastColumn="0" w:lastRow="0" w:noHBand="0" w:noVBand="1" w:val="04A0"/>
      </w:tblPr>
      <w:tblGrid>
        <w:gridCol w:w="4896"/>
        <w:gridCol w:w="4896"/>
      </w:tblGrid>
      <w:tr>
        <w:tc>
          <w:tcPr>
            <w:tcW w:type="dxa" w:w="2592"/>
            <w:shd w:val="clear" w:fill="1B4D89"/>
          </w:tcPr>
          <w:p>
            <w:r/>
            <w:r>
              <w:rPr>
                <w:rFonts w:ascii="Arial" w:hAnsi="Arial"/>
                <w:b/>
                <w:color w:val="FFFFFF"/>
                <w:sz w:val="16"/>
              </w:rPr>
              <w:t>Focus</w:t>
            </w:r>
          </w:p>
        </w:tc>
        <w:tc>
          <w:tcPr>
            <w:tcW w:type="dxa" w:w="8928"/>
            <w:shd w:val="clear" w:fill="1B4D89"/>
          </w:tcPr>
          <w:p>
            <w:r/>
            <w:r>
              <w:rPr>
                <w:rFonts w:ascii="Arial" w:hAnsi="Arial"/>
                <w:b/>
                <w:color w:val="FFFFFF"/>
                <w:sz w:val="16"/>
              </w:rPr>
              <w:t>Action</w:t>
            </w:r>
          </w:p>
        </w:tc>
      </w:tr>
      <w:tr>
        <w:tc>
          <w:tcPr>
            <w:tcW w:type="dxa" w:w="2592"/>
          </w:tcPr>
          <w:p>
            <w:r/>
            <w:r>
              <w:rPr>
                <w:rFonts w:ascii="Arial" w:hAnsi="Arial"/>
                <w:b w:val="0"/>
                <w:sz w:val="16"/>
              </w:rPr>
              <w:t>Margin</w:t>
            </w:r>
          </w:p>
        </w:tc>
        <w:tc>
          <w:tcPr>
            <w:tcW w:type="dxa" w:w="8928"/>
          </w:tcPr>
          <w:p>
            <w:r/>
            <w:r>
              <w:rPr>
                <w:rFonts w:ascii="Arial" w:hAnsi="Arial"/>
                <w:b w:val="0"/>
                <w:sz w:val="16"/>
              </w:rPr>
              <w:t>Recover margin to plan</w:t>
            </w:r>
          </w:p>
        </w:tc>
      </w:tr>
      <w:tr>
        <w:tc>
          <w:tcPr>
            <w:tcW w:type="dxa" w:w="2592"/>
            <w:shd w:val="clear" w:fill="F4F7FB"/>
          </w:tcPr>
          <w:p>
            <w:r/>
            <w:r>
              <w:rPr>
                <w:rFonts w:ascii="Arial" w:hAnsi="Arial"/>
                <w:b w:val="0"/>
                <w:sz w:val="16"/>
              </w:rPr>
              <w:t>Capital</w:t>
            </w:r>
          </w:p>
        </w:tc>
        <w:tc>
          <w:tcPr>
            <w:tcW w:type="dxa" w:w="8928"/>
            <w:shd w:val="clear" w:fill="F4F7FB"/>
          </w:tcPr>
          <w:p>
            <w:r/>
            <w:r>
              <w:rPr>
                <w:rFonts w:ascii="Arial" w:hAnsi="Arial"/>
                <w:b w:val="0"/>
                <w:sz w:val="16"/>
              </w:rPr>
              <w:t>Re-allocate to top-return investments</w:t>
            </w:r>
          </w:p>
        </w:tc>
      </w:tr>
      <w:tr>
        <w:tc>
          <w:tcPr>
            <w:tcW w:type="dxa" w:w="2592"/>
          </w:tcPr>
          <w:p>
            <w:r/>
            <w:r>
              <w:rPr>
                <w:rFonts w:ascii="Arial" w:hAnsi="Arial"/>
                <w:b w:val="0"/>
                <w:sz w:val="16"/>
              </w:rPr>
              <w:t>Cash</w:t>
            </w:r>
          </w:p>
        </w:tc>
        <w:tc>
          <w:tcPr>
            <w:tcW w:type="dxa" w:w="8928"/>
          </w:tcPr>
          <w:p>
            <w:r/>
            <w:r>
              <w:rPr>
                <w:rFonts w:ascii="Arial" w:hAnsi="Arial"/>
                <w:b w:val="0"/>
                <w:sz w:val="16"/>
              </w:rPr>
              <w:t>Release working capital</w:t>
            </w:r>
          </w:p>
        </w:tc>
      </w:tr>
      <w:tr>
        <w:tc>
          <w:tcPr>
            <w:tcW w:type="dxa" w:w="2592"/>
            <w:shd w:val="clear" w:fill="F4F7FB"/>
          </w:tcPr>
          <w:p>
            <w:r/>
            <w:r>
              <w:rPr>
                <w:rFonts w:ascii="Arial" w:hAnsi="Arial"/>
                <w:b w:val="0"/>
                <w:sz w:val="16"/>
              </w:rPr>
              <w:t>FP&amp;A</w:t>
            </w:r>
          </w:p>
        </w:tc>
        <w:tc>
          <w:tcPr>
            <w:tcW w:type="dxa" w:w="8928"/>
            <w:shd w:val="clear" w:fill="F4F7FB"/>
          </w:tcPr>
          <w:p>
            <w:r/>
            <w:r>
              <w:rPr>
                <w:rFonts w:ascii="Arial" w:hAnsi="Arial"/>
                <w:b w:val="0"/>
                <w:sz w:val="16"/>
              </w:rPr>
              <w:t>Improve forecast accuracy</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