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RISK MANAGEMENT CENTRE™</w:t>
      </w:r>
    </w:p>
    <w:p>
      <w:pPr>
        <w:jc w:val="center"/>
      </w:pPr>
      <w:r>
        <w:rPr>
          <w:b/>
          <w:color w:val="10243F"/>
          <w:sz w:val="52"/>
        </w:rPr>
        <w:t>Risk Committee Charter</w:t>
      </w:r>
    </w:p>
    <w:p>
      <w:pPr>
        <w:jc w:val="center"/>
      </w:pPr>
      <w:r>
        <w:rPr>
          <w:color w:val="C97B2C"/>
          <w:sz w:val="26"/>
        </w:rPr>
        <w:t>Mandate, composition and operation of the Risk Committee</w:t>
      </w:r>
    </w:p>
    <w:p/>
    <w:p/>
    <w:p>
      <w:pPr>
        <w:jc w:val="center"/>
      </w:pPr>
      <w:r>
        <w:rPr>
          <w:color w:val="555555"/>
          <w:sz w:val="20"/>
        </w:rPr>
        <w:t>Risk Committee  ·  Access Tier T2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Purpose</w:t>
      </w:r>
    </w:p>
    <w:p>
      <w:r>
        <w:rPr>
          <w:b w:val="0"/>
          <w:i w:val="0"/>
          <w:sz w:val="20"/>
        </w:rPr>
        <w:t>The Risk Committee assists the board in overseeing the risk management framework, the risk profile, risk appetite and the effectiveness of risk controls.</w:t>
      </w:r>
    </w:p>
    <w:p>
      <w:pPr>
        <w:pStyle w:val="Heading1"/>
      </w:pPr>
      <w:r>
        <w:t>2. Composition &amp; Meetings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259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Item</w:t>
            </w:r>
          </w:p>
        </w:tc>
        <w:tc>
          <w:tcPr>
            <w:tcW w:type="dxa" w:w="89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Provision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Arial" w:hAnsi="Arial"/>
                <w:b w:val="0"/>
                <w:sz w:val="16"/>
              </w:rPr>
              <w:t>Membership</w:t>
            </w:r>
          </w:p>
        </w:tc>
        <w:tc>
          <w:tcPr>
            <w:tcW w:type="dxa" w:w="8928"/>
          </w:tcPr>
          <w:p>
            <w:r/>
            <w:r>
              <w:rPr>
                <w:rFonts w:ascii="Arial" w:hAnsi="Arial"/>
                <w:b w:val="0"/>
                <w:sz w:val="16"/>
              </w:rPr>
              <w:t>Minimum three non-executive directors; majority independent</w:t>
            </w:r>
          </w:p>
        </w:tc>
      </w:tr>
      <w:tr>
        <w:tc>
          <w:tcPr>
            <w:tcW w:type="dxa" w:w="259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Chair</w:t>
            </w:r>
          </w:p>
        </w:tc>
        <w:tc>
          <w:tcPr>
            <w:tcW w:type="dxa" w:w="89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Independent non-executive director (not the board chair)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Arial" w:hAnsi="Arial"/>
                <w:b w:val="0"/>
                <w:sz w:val="16"/>
              </w:rPr>
              <w:t>Attendees</w:t>
            </w:r>
          </w:p>
        </w:tc>
        <w:tc>
          <w:tcPr>
            <w:tcW w:type="dxa" w:w="8928"/>
          </w:tcPr>
          <w:p>
            <w:r/>
            <w:r>
              <w:rPr>
                <w:rFonts w:ascii="Arial" w:hAnsi="Arial"/>
                <w:b w:val="0"/>
                <w:sz w:val="16"/>
              </w:rPr>
              <w:t>CRO, CFO; others by invitation (CISO, Head of Compliance, Internal Audit)</w:t>
            </w:r>
          </w:p>
        </w:tc>
      </w:tr>
      <w:tr>
        <w:tc>
          <w:tcPr>
            <w:tcW w:type="dxa" w:w="259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Frequency</w:t>
            </w:r>
          </w:p>
        </w:tc>
        <w:tc>
          <w:tcPr>
            <w:tcW w:type="dxa" w:w="89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At least quarterly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Arial" w:hAnsi="Arial"/>
                <w:b w:val="0"/>
                <w:sz w:val="16"/>
              </w:rPr>
              <w:t>Quorum</w:t>
            </w:r>
          </w:p>
        </w:tc>
        <w:tc>
          <w:tcPr>
            <w:tcW w:type="dxa" w:w="8928"/>
          </w:tcPr>
          <w:p>
            <w:r/>
            <w:r>
              <w:rPr>
                <w:rFonts w:ascii="Arial" w:hAnsi="Arial"/>
                <w:b w:val="0"/>
                <w:sz w:val="16"/>
              </w:rPr>
              <w:t>Two members</w:t>
            </w:r>
          </w:p>
        </w:tc>
      </w:tr>
    </w:tbl>
    <w:p>
      <w:pPr>
        <w:pStyle w:val="Heading1"/>
      </w:pPr>
      <w:r>
        <w:t>3. Responsibilities</w:t>
      </w:r>
    </w:p>
    <w:p>
      <w:pPr>
        <w:pStyle w:val="ListBullet"/>
      </w:pPr>
      <w:r>
        <w:rPr>
          <w:sz w:val="19"/>
        </w:rPr>
        <w:t>Review and recommend the risk management framework and policy to the board</w:t>
      </w:r>
    </w:p>
    <w:p>
      <w:pPr>
        <w:pStyle w:val="ListBullet"/>
      </w:pPr>
      <w:r>
        <w:rPr>
          <w:sz w:val="19"/>
        </w:rPr>
        <w:t>Recommend the risk appetite and monitor the profile against it</w:t>
      </w:r>
    </w:p>
    <w:p>
      <w:pPr>
        <w:pStyle w:val="ListBullet"/>
      </w:pPr>
      <w:r>
        <w:rPr>
          <w:sz w:val="19"/>
        </w:rPr>
        <w:t>Review the top risks, KRIs, breaches and emerging risks</w:t>
      </w:r>
    </w:p>
    <w:p>
      <w:pPr>
        <w:pStyle w:val="ListBullet"/>
      </w:pPr>
      <w:r>
        <w:rPr>
          <w:sz w:val="19"/>
        </w:rPr>
        <w:t>Oversee key risk domains (financial, operational, cyber, fraud, compliance, ESG)</w:t>
      </w:r>
    </w:p>
    <w:p>
      <w:pPr>
        <w:pStyle w:val="ListBullet"/>
      </w:pPr>
      <w:r>
        <w:rPr>
          <w:sz w:val="19"/>
        </w:rPr>
        <w:t>Review the effectiveness of risk controls and assurance</w:t>
      </w:r>
    </w:p>
    <w:p>
      <w:pPr>
        <w:pStyle w:val="ListBullet"/>
      </w:pPr>
      <w:r>
        <w:rPr>
          <w:sz w:val="19"/>
        </w:rPr>
        <w:t>Oversee crisis preparedness and business continuity</w:t>
      </w:r>
    </w:p>
    <w:p>
      <w:pPr>
        <w:pStyle w:val="ListBullet"/>
      </w:pPr>
      <w:r>
        <w:rPr>
          <w:sz w:val="19"/>
        </w:rPr>
        <w:t>Review material risk events, incidents and losses</w:t>
      </w:r>
    </w:p>
    <w:p>
      <w:pPr>
        <w:pStyle w:val="ListBullet"/>
      </w:pPr>
      <w:r>
        <w:rPr>
          <w:sz w:val="19"/>
        </w:rPr>
        <w:t>Report to the board after each meeting</w:t>
      </w:r>
    </w:p>
    <w:p>
      <w:pPr>
        <w:pStyle w:val="Heading1"/>
      </w:pPr>
      <w:r>
        <w:t>4. Authority</w:t>
      </w:r>
    </w:p>
    <w:p>
      <w:r>
        <w:rPr>
          <w:b w:val="0"/>
          <w:i w:val="0"/>
          <w:sz w:val="20"/>
        </w:rPr>
        <w:t>The Committee may obtain any information it requires, access management and assurance providers, and commission independent advice.</w:t>
      </w:r>
    </w:p>
    <w:p>
      <w:pPr>
        <w:pStyle w:val="Heading1"/>
      </w:pPr>
      <w:r>
        <w:t>5. Reporting</w:t>
      </w:r>
    </w:p>
    <w:p>
      <w:r>
        <w:rPr>
          <w:b w:val="0"/>
          <w:i w:val="0"/>
          <w:sz w:val="20"/>
        </w:rPr>
        <w:t>The Committee Chair reports to the board after each meeting and the Committee's effectiveness is reviewed annually.</w:t>
      </w:r>
    </w:p>
    <w:p>
      <w:pPr>
        <w:pStyle w:val="Heading1"/>
      </w:pPr>
      <w:r>
        <w:t>6. Annual Agenda (illustrative)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Quarter</w:t>
            </w:r>
          </w:p>
        </w:tc>
        <w:tc>
          <w:tcPr>
            <w:tcW w:type="dxa" w:w="979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Focus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Q1</w:t>
            </w:r>
          </w:p>
        </w:tc>
        <w:tc>
          <w:tcPr>
            <w:tcW w:type="dxa" w:w="9792"/>
          </w:tcPr>
          <w:p>
            <w:r/>
            <w:r>
              <w:rPr>
                <w:rFonts w:ascii="Arial" w:hAnsi="Arial"/>
                <w:b w:val="0"/>
                <w:sz w:val="16"/>
              </w:rPr>
              <w:t>Appetite review; prior-year risk effectiveness; cyber deep-dive</w:t>
            </w:r>
          </w:p>
        </w:tc>
      </w:tr>
      <w:tr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Q2</w:t>
            </w:r>
          </w:p>
        </w:tc>
        <w:tc>
          <w:tcPr>
            <w:tcW w:type="dxa" w:w="979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Financial &amp; operational risk; emerging-risk horizon scan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Q3</w:t>
            </w:r>
          </w:p>
        </w:tc>
        <w:tc>
          <w:tcPr>
            <w:tcW w:type="dxa" w:w="9792"/>
          </w:tcPr>
          <w:p>
            <w:r/>
            <w:r>
              <w:rPr>
                <w:rFonts w:ascii="Arial" w:hAnsi="Arial"/>
                <w:b w:val="0"/>
                <w:sz w:val="16"/>
              </w:rPr>
              <w:t>Fraud &amp; compliance; business continuity &amp; crisis readiness</w:t>
            </w:r>
          </w:p>
        </w:tc>
      </w:tr>
      <w:tr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Q4</w:t>
            </w:r>
          </w:p>
        </w:tc>
        <w:tc>
          <w:tcPr>
            <w:tcW w:type="dxa" w:w="979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ESG/climate risk; plan &amp; budget risk; committee self-assessment</w:t>
            </w:r>
          </w:p>
        </w:tc>
      </w:tr>
    </w:tbl>
    <w:p>
      <w:pPr>
        <w:pStyle w:val="Heading2"/>
      </w:pPr>
      <w:r>
        <w:t>Disclaimer</w:t>
      </w:r>
    </w:p>
    <w:p>
      <w:r>
        <w:rPr>
          <w:b w:val="0"/>
          <w:i/>
          <w:sz w:val="18"/>
        </w:rPr>
        <w:t>This toolkit is a professional management resource, not legal, regulatory or audit advice. Calibrate scoring scales, appetite, limits and governance to your organisation, sector and applicable regulation. Sector-specific requirements (e.g. prudential, data-protection, HSE) must be confirmed against current local regulation.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