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Board Evaluation Toolkit™</w:t>
      </w:r>
    </w:p>
    <w:p>
      <w:pPr>
        <w:jc w:val="center"/>
      </w:pPr>
      <w:r>
        <w:rPr>
          <w:color w:val="C97B2C"/>
          <w:sz w:val="26"/>
        </w:rPr>
        <w:t>Run credible board, committee and director evaluations</w:t>
      </w:r>
    </w:p>
    <w:p/>
    <w:p/>
    <w:p>
      <w:pPr>
        <w:jc w:val="center"/>
      </w:pPr>
      <w:r>
        <w:rPr>
          <w:color w:val="555555"/>
          <w:sz w:val="20"/>
        </w:rPr>
        <w:t>Chairs / SID / Company Secretaries  ·  Flagship Edition 2026</w:t>
      </w:r>
    </w:p>
    <w:p>
      <w:pPr>
        <w:jc w:val="center"/>
      </w:pPr>
      <w:r>
        <w:rPr>
          <w:i/>
          <w:color w:val="555555"/>
          <w:sz w:val="18"/>
        </w:rPr>
        <w:t>Outliers Professionals Ltd — Board Excellence Centre Resource Library</w:t>
      </w:r>
    </w:p>
    <w:p>
      <w:r>
        <w:br w:type="page"/>
      </w:r>
    </w:p>
    <w:p>
      <w:pPr>
        <w:pStyle w:val="Heading1"/>
      </w:pPr>
      <w:r>
        <w:t>1. Executive Overview</w:t>
      </w:r>
    </w:p>
    <w:p>
      <w:r>
        <w:rPr>
          <w:b w:val="0"/>
          <w:i w:val="0"/>
          <w:sz w:val="20"/>
        </w:rPr>
        <w:t>This toolkit helps the board run credible board, committee and director evaluations — internal or externally facilitated — and turn the results into improvement.</w:t>
      </w:r>
    </w:p>
    <w:p>
      <w:r>
        <w:rPr>
          <w:b w:val="0"/>
          <w:i w:val="0"/>
          <w:sz w:val="19"/>
        </w:rPr>
        <w:t>This toolkit is part of the Outliers Board Excellence Centre™ and is anchored to NCCG 2018, the OECD Principles, King IV and ISO 37000 (by name). It develops the board itself, giving chairs, directors, committees and company secretaries an applied, end-to-end kit to build, run, evaluate and improve board effectiveness in this domain.</w:t>
      </w:r>
    </w:p>
    <w:p>
      <w:pPr>
        <w:pStyle w:val="Heading1"/>
      </w:pPr>
      <w:r>
        <w:t>2. Objectives</w:t>
      </w:r>
    </w:p>
    <w:p>
      <w:r>
        <w:rPr>
          <w:b w:val="0"/>
          <w:i w:val="0"/>
          <w:sz w:val="20"/>
        </w:rPr>
        <w:t>The outcomes this toolkit helps the board achieve:</w:t>
      </w:r>
    </w:p>
    <w:p>
      <w:pPr>
        <w:pStyle w:val="ListBullet"/>
      </w:pPr>
      <w:r>
        <w:rPr>
          <w:sz w:val="19"/>
        </w:rPr>
        <w:t>Design evaluation scope and method</w:t>
      </w:r>
    </w:p>
    <w:p>
      <w:pPr>
        <w:pStyle w:val="ListBullet"/>
      </w:pPr>
      <w:r>
        <w:rPr>
          <w:sz w:val="19"/>
        </w:rPr>
        <w:t>Run board, committee and director evaluations</w:t>
      </w:r>
    </w:p>
    <w:p>
      <w:pPr>
        <w:pStyle w:val="ListBullet"/>
      </w:pPr>
      <w:r>
        <w:rPr>
          <w:sz w:val="19"/>
        </w:rPr>
        <w:t>Externalise periodically for independence</w:t>
      </w:r>
    </w:p>
    <w:p>
      <w:pPr>
        <w:pStyle w:val="ListBullet"/>
      </w:pPr>
      <w:r>
        <w:rPr>
          <w:sz w:val="19"/>
        </w:rPr>
        <w:t>Feed back results constructively</w:t>
      </w:r>
    </w:p>
    <w:p>
      <w:pPr>
        <w:pStyle w:val="ListBullet"/>
      </w:pPr>
      <w:r>
        <w:rPr>
          <w:sz w:val="19"/>
        </w:rPr>
        <w:t>Turn results into tracked improvement</w:t>
      </w:r>
    </w:p>
    <w:p>
      <w:pPr>
        <w:pStyle w:val="Heading1"/>
      </w:pPr>
      <w:r>
        <w:t>3. Governance</w:t>
      </w:r>
    </w:p>
    <w:p>
      <w:r>
        <w:rPr>
          <w:b w:val="0"/>
          <w:i w:val="0"/>
          <w:sz w:val="20"/>
        </w:rPr>
        <w:t>Board evaluation is commissioned by the board, led by the chair or senior independent director, and informs development:</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chair</w:t>
            </w:r>
          </w:p>
        </w:tc>
        <w:tc>
          <w:tcPr>
            <w:tcW w:type="dxa" w:w="8208"/>
          </w:tcPr>
          <w:p>
            <w:r/>
            <w:r>
              <w:rPr>
                <w:rFonts w:ascii="Arial" w:hAnsi="Arial"/>
                <w:b w:val="0"/>
                <w:sz w:val="16"/>
              </w:rPr>
              <w:t>Leads the board and this area of practice</w:t>
            </w:r>
          </w:p>
        </w:tc>
      </w:tr>
      <w:tr>
        <w:tc>
          <w:tcPr>
            <w:tcW w:type="dxa" w:w="3312"/>
            <w:shd w:val="clear" w:fill="F4F7FB"/>
          </w:tcPr>
          <w:p>
            <w:r/>
            <w:r>
              <w:rPr>
                <w:rFonts w:ascii="Arial" w:hAnsi="Arial"/>
                <w:b w:val="0"/>
                <w:sz w:val="16"/>
              </w:rPr>
              <w:t>Board</w:t>
            </w:r>
          </w:p>
        </w:tc>
        <w:tc>
          <w:tcPr>
            <w:tcW w:type="dxa" w:w="8208"/>
            <w:shd w:val="clear" w:fill="F4F7FB"/>
          </w:tcPr>
          <w:p>
            <w:r/>
            <w:r>
              <w:rPr>
                <w:rFonts w:ascii="Arial" w:hAnsi="Arial"/>
                <w:b w:val="0"/>
                <w:sz w:val="16"/>
              </w:rPr>
              <w:t>Owns its own effectiveness</w:t>
            </w:r>
          </w:p>
        </w:tc>
      </w:tr>
      <w:tr>
        <w:tc>
          <w:tcPr>
            <w:tcW w:type="dxa" w:w="3312"/>
          </w:tcPr>
          <w:p>
            <w:r/>
            <w:r>
              <w:rPr>
                <w:rFonts w:ascii="Arial" w:hAnsi="Arial"/>
                <w:b w:val="0"/>
                <w:sz w:val="16"/>
              </w:rPr>
              <w:t>Board committees</w:t>
            </w:r>
          </w:p>
        </w:tc>
        <w:tc>
          <w:tcPr>
            <w:tcW w:type="dxa" w:w="8208"/>
          </w:tcPr>
          <w:p>
            <w:r/>
            <w:r>
              <w:rPr>
                <w:rFonts w:ascii="Arial" w:hAnsi="Arial"/>
                <w:b w:val="0"/>
                <w:sz w:val="16"/>
              </w:rPr>
              <w:t>Discharge delegated oversight</w:t>
            </w:r>
          </w:p>
        </w:tc>
      </w:tr>
      <w:tr>
        <w:tc>
          <w:tcPr>
            <w:tcW w:type="dxa" w:w="3312"/>
            <w:shd w:val="clear" w:fill="F4F7FB"/>
          </w:tcPr>
          <w:p>
            <w:r/>
            <w:r>
              <w:rPr>
                <w:rFonts w:ascii="Arial" w:hAnsi="Arial"/>
                <w:b w:val="0"/>
                <w:sz w:val="16"/>
              </w:rPr>
              <w:t>Company secretary</w:t>
            </w:r>
          </w:p>
        </w:tc>
        <w:tc>
          <w:tcPr>
            <w:tcW w:type="dxa" w:w="8208"/>
            <w:shd w:val="clear" w:fill="F4F7FB"/>
          </w:tcPr>
          <w:p>
            <w:r/>
            <w:r>
              <w:rPr>
                <w:rFonts w:ascii="Arial" w:hAnsi="Arial"/>
                <w:b w:val="0"/>
                <w:sz w:val="16"/>
              </w:rPr>
              <w:t>Enables information, process and evaluation</w:t>
            </w:r>
          </w:p>
        </w:tc>
      </w:tr>
      <w:tr>
        <w:tc>
          <w:tcPr>
            <w:tcW w:type="dxa" w:w="3312"/>
          </w:tcPr>
          <w:p>
            <w:r/>
            <w:r>
              <w:rPr>
                <w:rFonts w:ascii="Arial" w:hAnsi="Arial"/>
                <w:b w:val="0"/>
                <w:sz w:val="16"/>
              </w:rPr>
              <w:t>Management</w:t>
            </w:r>
          </w:p>
        </w:tc>
        <w:tc>
          <w:tcPr>
            <w:tcW w:type="dxa" w:w="8208"/>
          </w:tcPr>
          <w:p>
            <w:r/>
            <w:r>
              <w:rPr>
                <w:rFonts w:ascii="Arial" w:hAnsi="Arial"/>
                <w:b w:val="0"/>
                <w:sz w:val="16"/>
              </w:rPr>
              <w:t>Supports the board and implements decisions</w:t>
            </w:r>
          </w:p>
        </w:tc>
      </w:tr>
    </w:tbl>
    <w:p>
      <w:pPr>
        <w:pStyle w:val="Heading1"/>
      </w:pPr>
      <w:r>
        <w:t>4. Framework</w:t>
      </w:r>
    </w:p>
    <w:p>
      <w:r>
        <w:rPr>
          <w:b w:val="0"/>
          <w:i w:val="0"/>
          <w:sz w:val="20"/>
        </w:rPr>
        <w:t>The framework runs credible board, committee and director evaluations — scope, method, instruments, externalisation, feedback and action — aligned to NCCG 2018 evaluation expectations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compliance-driven</w:t>
            </w:r>
          </w:p>
        </w:tc>
        <w:tc>
          <w:tcPr>
            <w:tcW w:type="dxa" w:w="2232"/>
          </w:tcPr>
          <w:p>
            <w:r/>
            <w:r>
              <w:rPr>
                <w:rFonts w:ascii="Arial" w:hAnsi="Arial"/>
                <w:b w:val="0"/>
                <w:sz w:val="16"/>
              </w:rPr>
              <w:t>Basic, inconsistent</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evaluated</w:t>
            </w:r>
          </w:p>
        </w:tc>
        <w:tc>
          <w:tcPr>
            <w:tcW w:type="dxa" w:w="2232"/>
          </w:tcPr>
          <w:p>
            <w:r/>
            <w:r>
              <w:rPr>
                <w:rFonts w:ascii="Arial" w:hAnsi="Arial"/>
                <w:b w:val="0"/>
                <w:sz w:val="16"/>
              </w:rPr>
              <w:t>High-performing &amp; renewing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Board chair (or SID)</w:t>
            </w:r>
          </w:p>
        </w:tc>
        <w:tc>
          <w:tcPr>
            <w:tcW w:type="dxa" w:w="8064"/>
          </w:tcPr>
          <w:p>
            <w:r/>
            <w:r>
              <w:rPr>
                <w:rFonts w:ascii="Arial" w:hAnsi="Arial"/>
                <w:b w:val="0"/>
                <w:sz w:val="17"/>
              </w:rPr>
              <w:t>Commissions and leads evaluation</w:t>
            </w:r>
          </w:p>
        </w:tc>
      </w:tr>
      <w:tr>
        <w:tc>
          <w:tcPr>
            <w:tcW w:type="dxa" w:w="3456"/>
            <w:shd w:val="clear" w:fill="F4F7FB"/>
          </w:tcPr>
          <w:p>
            <w:r/>
            <w:r>
              <w:rPr>
                <w:rFonts w:ascii="Arial" w:hAnsi="Arial"/>
                <w:b w:val="0"/>
                <w:sz w:val="17"/>
              </w:rPr>
              <w:t>Company secretary</w:t>
            </w:r>
          </w:p>
        </w:tc>
        <w:tc>
          <w:tcPr>
            <w:tcW w:type="dxa" w:w="8064"/>
            <w:shd w:val="clear" w:fill="F4F7FB"/>
          </w:tcPr>
          <w:p>
            <w:r/>
            <w:r>
              <w:rPr>
                <w:rFonts w:ascii="Arial" w:hAnsi="Arial"/>
                <w:b w:val="0"/>
                <w:sz w:val="17"/>
              </w:rPr>
              <w:t>Coordinates the evaluation</w:t>
            </w:r>
          </w:p>
        </w:tc>
      </w:tr>
      <w:tr>
        <w:tc>
          <w:tcPr>
            <w:tcW w:type="dxa" w:w="3456"/>
          </w:tcPr>
          <w:p>
            <w:r/>
            <w:r>
              <w:rPr>
                <w:rFonts w:ascii="Arial" w:hAnsi="Arial"/>
                <w:b w:val="0"/>
                <w:sz w:val="17"/>
              </w:rPr>
              <w:t>External facilitator</w:t>
            </w:r>
          </w:p>
        </w:tc>
        <w:tc>
          <w:tcPr>
            <w:tcW w:type="dxa" w:w="8064"/>
          </w:tcPr>
          <w:p>
            <w:r/>
            <w:r>
              <w:rPr>
                <w:rFonts w:ascii="Arial" w:hAnsi="Arial"/>
                <w:b w:val="0"/>
                <w:sz w:val="17"/>
              </w:rPr>
              <w:t>Provides independence (where engaged)</w:t>
            </w:r>
          </w:p>
        </w:tc>
      </w:tr>
      <w:tr>
        <w:tc>
          <w:tcPr>
            <w:tcW w:type="dxa" w:w="3456"/>
            <w:shd w:val="clear" w:fill="F4F7FB"/>
          </w:tcPr>
          <w:p>
            <w:r/>
            <w:r>
              <w:rPr>
                <w:rFonts w:ascii="Arial" w:hAnsi="Arial"/>
                <w:b w:val="0"/>
                <w:sz w:val="17"/>
              </w:rPr>
              <w:t>Directors</w:t>
            </w:r>
          </w:p>
        </w:tc>
        <w:tc>
          <w:tcPr>
            <w:tcW w:type="dxa" w:w="8064"/>
            <w:shd w:val="clear" w:fill="F4F7FB"/>
          </w:tcPr>
          <w:p>
            <w:r/>
            <w:r>
              <w:rPr>
                <w:rFonts w:ascii="Arial" w:hAnsi="Arial"/>
                <w:b w:val="0"/>
                <w:sz w:val="17"/>
              </w:rPr>
              <w:t>Participate candidly</w:t>
            </w:r>
          </w:p>
        </w:tc>
      </w:tr>
      <w:tr>
        <w:tc>
          <w:tcPr>
            <w:tcW w:type="dxa" w:w="3456"/>
          </w:tcPr>
          <w:p>
            <w:r/>
            <w:r>
              <w:rPr>
                <w:rFonts w:ascii="Arial" w:hAnsi="Arial"/>
                <w:b w:val="0"/>
                <w:sz w:val="17"/>
              </w:rPr>
              <w:t>Board</w:t>
            </w:r>
          </w:p>
        </w:tc>
        <w:tc>
          <w:tcPr>
            <w:tcW w:type="dxa" w:w="8064"/>
          </w:tcPr>
          <w:p>
            <w:r/>
            <w:r>
              <w:rPr>
                <w:rFonts w:ascii="Arial" w:hAnsi="Arial"/>
                <w:b w:val="0"/>
                <w:sz w:val="17"/>
              </w:rPr>
              <w:t>Acts on the results</w:t>
            </w:r>
          </w:p>
        </w:tc>
      </w:tr>
    </w:tbl>
    <w:p>
      <w:pPr>
        <w:pStyle w:val="Heading1"/>
      </w:pPr>
      <w:r>
        <w:t>6. Practice / Effectiveness Matrix (sample)</w:t>
      </w:r>
    </w:p>
    <w:p>
      <w:r>
        <w:rPr>
          <w:b w:val="0"/>
          <w:i/>
          <w:sz w:val="19"/>
        </w:rPr>
        <w:t>Illustrative matrix of board practices and how they are operated and evidenced. Full working versions ship as editable XLSX with owners, scores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Practice / Focus</w:t>
            </w:r>
          </w:p>
        </w:tc>
        <w:tc>
          <w:tcPr>
            <w:tcW w:type="dxa" w:w="3456"/>
            <w:shd w:val="clear" w:fill="1B4D89"/>
          </w:tcPr>
          <w:p>
            <w:r/>
            <w:r>
              <w:rPr>
                <w:rFonts w:ascii="Arial" w:hAnsi="Arial"/>
                <w:b/>
                <w:color w:val="FFFFFF"/>
                <w:sz w:val="16"/>
              </w:rPr>
              <w:t>How it is operated</w:t>
            </w:r>
          </w:p>
        </w:tc>
        <w:tc>
          <w:tcPr>
            <w:tcW w:type="dxa" w:w="1872"/>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Cadence</w:t>
            </w:r>
          </w:p>
        </w:tc>
        <w:tc>
          <w:tcPr>
            <w:tcW w:type="dxa" w:w="1296"/>
            <w:shd w:val="clear" w:fill="1B4D89"/>
          </w:tcPr>
          <w:p>
            <w:r/>
            <w:r>
              <w:rPr>
                <w:rFonts w:ascii="Arial" w:hAnsi="Arial"/>
                <w:b/>
                <w:color w:val="FFFFFF"/>
                <w:sz w:val="16"/>
              </w:rPr>
              <w:t>Evidence</w:t>
            </w:r>
          </w:p>
        </w:tc>
      </w:tr>
      <w:tr>
        <w:tc>
          <w:tcPr>
            <w:tcW w:type="dxa" w:w="864"/>
          </w:tcPr>
          <w:p>
            <w:r/>
            <w:r>
              <w:rPr>
                <w:rFonts w:ascii="Arial" w:hAnsi="Arial"/>
                <w:b w:val="0"/>
                <w:sz w:val="16"/>
              </w:rPr>
              <w:t>EV-01</w:t>
            </w:r>
          </w:p>
        </w:tc>
        <w:tc>
          <w:tcPr>
            <w:tcW w:type="dxa" w:w="2880"/>
          </w:tcPr>
          <w:p>
            <w:r/>
            <w:r>
              <w:rPr>
                <w:rFonts w:ascii="Arial" w:hAnsi="Arial"/>
                <w:b w:val="0"/>
                <w:sz w:val="16"/>
              </w:rPr>
              <w:t>Board evaluation</w:t>
            </w:r>
          </w:p>
        </w:tc>
        <w:tc>
          <w:tcPr>
            <w:tcW w:type="dxa" w:w="3456"/>
          </w:tcPr>
          <w:p>
            <w:r/>
            <w:r>
              <w:rPr>
                <w:rFonts w:ascii="Arial" w:hAnsi="Arial"/>
                <w:b w:val="0"/>
                <w:sz w:val="16"/>
              </w:rPr>
              <w:t>Scored questionnaire + dialogue</w:t>
            </w:r>
          </w:p>
        </w:tc>
        <w:tc>
          <w:tcPr>
            <w:tcW w:type="dxa" w:w="1872"/>
          </w:tcPr>
          <w:p>
            <w:r/>
            <w:r>
              <w:rPr>
                <w:rFonts w:ascii="Arial" w:hAnsi="Arial"/>
                <w:b w:val="0"/>
                <w:sz w:val="16"/>
              </w:rPr>
              <w:t>Chair</w:t>
            </w:r>
          </w:p>
        </w:tc>
        <w:tc>
          <w:tcPr>
            <w:tcW w:type="dxa" w:w="1296"/>
          </w:tcPr>
          <w:p>
            <w:r/>
            <w:r>
              <w:rPr>
                <w:rFonts w:ascii="Arial" w:hAnsi="Arial"/>
                <w:b w:val="0"/>
                <w:sz w:val="16"/>
              </w:rPr>
              <w:t>Annually</w:t>
            </w:r>
          </w:p>
        </w:tc>
        <w:tc>
          <w:tcPr>
            <w:tcW w:type="dxa" w:w="1296"/>
          </w:tcPr>
          <w:p>
            <w:r/>
            <w:r>
              <w:rPr>
                <w:rFonts w:ascii="Arial" w:hAnsi="Arial"/>
                <w:b w:val="0"/>
                <w:sz w:val="16"/>
              </w:rPr>
              <w:t>Evaluation report</w:t>
            </w:r>
          </w:p>
        </w:tc>
      </w:tr>
      <w:tr>
        <w:tc>
          <w:tcPr>
            <w:tcW w:type="dxa" w:w="864"/>
            <w:shd w:val="clear" w:fill="F4F7FB"/>
          </w:tcPr>
          <w:p>
            <w:r/>
            <w:r>
              <w:rPr>
                <w:rFonts w:ascii="Arial" w:hAnsi="Arial"/>
                <w:b w:val="0"/>
                <w:sz w:val="16"/>
              </w:rPr>
              <w:t>EV-02</w:t>
            </w:r>
          </w:p>
        </w:tc>
        <w:tc>
          <w:tcPr>
            <w:tcW w:type="dxa" w:w="2880"/>
            <w:shd w:val="clear" w:fill="F4F7FB"/>
          </w:tcPr>
          <w:p>
            <w:r/>
            <w:r>
              <w:rPr>
                <w:rFonts w:ascii="Arial" w:hAnsi="Arial"/>
                <w:b w:val="0"/>
                <w:sz w:val="16"/>
              </w:rPr>
              <w:t>Committee evaluation</w:t>
            </w:r>
          </w:p>
        </w:tc>
        <w:tc>
          <w:tcPr>
            <w:tcW w:type="dxa" w:w="3456"/>
            <w:shd w:val="clear" w:fill="F4F7FB"/>
          </w:tcPr>
          <w:p>
            <w:r/>
            <w:r>
              <w:rPr>
                <w:rFonts w:ascii="Arial" w:hAnsi="Arial"/>
                <w:b w:val="0"/>
                <w:sz w:val="16"/>
              </w:rPr>
              <w:t>Committee effectiveness assessment</w:t>
            </w:r>
          </w:p>
        </w:tc>
        <w:tc>
          <w:tcPr>
            <w:tcW w:type="dxa" w:w="1872"/>
            <w:shd w:val="clear" w:fill="F4F7FB"/>
          </w:tcPr>
          <w:p>
            <w:r/>
            <w:r>
              <w:rPr>
                <w:rFonts w:ascii="Arial" w:hAnsi="Arial"/>
                <w:b w:val="0"/>
                <w:sz w:val="16"/>
              </w:rPr>
              <w:t>Committee chairs</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Assessment</w:t>
            </w:r>
          </w:p>
        </w:tc>
      </w:tr>
      <w:tr>
        <w:tc>
          <w:tcPr>
            <w:tcW w:type="dxa" w:w="864"/>
          </w:tcPr>
          <w:p>
            <w:r/>
            <w:r>
              <w:rPr>
                <w:rFonts w:ascii="Arial" w:hAnsi="Arial"/>
                <w:b w:val="0"/>
                <w:sz w:val="16"/>
              </w:rPr>
              <w:t>EV-03</w:t>
            </w:r>
          </w:p>
        </w:tc>
        <w:tc>
          <w:tcPr>
            <w:tcW w:type="dxa" w:w="2880"/>
          </w:tcPr>
          <w:p>
            <w:r/>
            <w:r>
              <w:rPr>
                <w:rFonts w:ascii="Arial" w:hAnsi="Arial"/>
                <w:b w:val="0"/>
                <w:sz w:val="16"/>
              </w:rPr>
              <w:t>Director evaluation</w:t>
            </w:r>
          </w:p>
        </w:tc>
        <w:tc>
          <w:tcPr>
            <w:tcW w:type="dxa" w:w="3456"/>
          </w:tcPr>
          <w:p>
            <w:r/>
            <w:r>
              <w:rPr>
                <w:rFonts w:ascii="Arial" w:hAnsi="Arial"/>
                <w:b w:val="0"/>
                <w:sz w:val="16"/>
              </w:rPr>
              <w:t>Peer and self review</w:t>
            </w:r>
          </w:p>
        </w:tc>
        <w:tc>
          <w:tcPr>
            <w:tcW w:type="dxa" w:w="1872"/>
          </w:tcPr>
          <w:p>
            <w:r/>
            <w:r>
              <w:rPr>
                <w:rFonts w:ascii="Arial" w:hAnsi="Arial"/>
                <w:b w:val="0"/>
                <w:sz w:val="16"/>
              </w:rPr>
              <w:t>Chair / SID</w:t>
            </w:r>
          </w:p>
        </w:tc>
        <w:tc>
          <w:tcPr>
            <w:tcW w:type="dxa" w:w="1296"/>
          </w:tcPr>
          <w:p>
            <w:r/>
            <w:r>
              <w:rPr>
                <w:rFonts w:ascii="Arial" w:hAnsi="Arial"/>
                <w:b w:val="0"/>
                <w:sz w:val="16"/>
              </w:rPr>
              <w:t>Annually</w:t>
            </w:r>
          </w:p>
        </w:tc>
        <w:tc>
          <w:tcPr>
            <w:tcW w:type="dxa" w:w="1296"/>
          </w:tcPr>
          <w:p>
            <w:r/>
            <w:r>
              <w:rPr>
                <w:rFonts w:ascii="Arial" w:hAnsi="Arial"/>
                <w:b w:val="0"/>
                <w:sz w:val="16"/>
              </w:rPr>
              <w:t>Feedback</w:t>
            </w:r>
          </w:p>
        </w:tc>
      </w:tr>
      <w:tr>
        <w:tc>
          <w:tcPr>
            <w:tcW w:type="dxa" w:w="864"/>
            <w:shd w:val="clear" w:fill="F4F7FB"/>
          </w:tcPr>
          <w:p>
            <w:r/>
            <w:r>
              <w:rPr>
                <w:rFonts w:ascii="Arial" w:hAnsi="Arial"/>
                <w:b w:val="0"/>
                <w:sz w:val="16"/>
              </w:rPr>
              <w:t>EV-04</w:t>
            </w:r>
          </w:p>
        </w:tc>
        <w:tc>
          <w:tcPr>
            <w:tcW w:type="dxa" w:w="2880"/>
            <w:shd w:val="clear" w:fill="F4F7FB"/>
          </w:tcPr>
          <w:p>
            <w:r/>
            <w:r>
              <w:rPr>
                <w:rFonts w:ascii="Arial" w:hAnsi="Arial"/>
                <w:b w:val="0"/>
                <w:sz w:val="16"/>
              </w:rPr>
              <w:t>External evaluation</w:t>
            </w:r>
          </w:p>
        </w:tc>
        <w:tc>
          <w:tcPr>
            <w:tcW w:type="dxa" w:w="3456"/>
            <w:shd w:val="clear" w:fill="F4F7FB"/>
          </w:tcPr>
          <w:p>
            <w:r/>
            <w:r>
              <w:rPr>
                <w:rFonts w:ascii="Arial" w:hAnsi="Arial"/>
                <w:b w:val="0"/>
                <w:sz w:val="16"/>
              </w:rPr>
              <w:t>Independent facilitation</w:t>
            </w:r>
          </w:p>
        </w:tc>
        <w:tc>
          <w:tcPr>
            <w:tcW w:type="dxa" w:w="1872"/>
            <w:shd w:val="clear" w:fill="F4F7FB"/>
          </w:tcPr>
          <w:p>
            <w:r/>
            <w:r>
              <w:rPr>
                <w:rFonts w:ascii="Arial" w:hAnsi="Arial"/>
                <w:b w:val="0"/>
                <w:sz w:val="16"/>
              </w:rPr>
              <w:t>Board</w:t>
            </w:r>
          </w:p>
        </w:tc>
        <w:tc>
          <w:tcPr>
            <w:tcW w:type="dxa" w:w="1296"/>
            <w:shd w:val="clear" w:fill="F4F7FB"/>
          </w:tcPr>
          <w:p>
            <w:r/>
            <w:r>
              <w:rPr>
                <w:rFonts w:ascii="Arial" w:hAnsi="Arial"/>
                <w:b w:val="0"/>
                <w:sz w:val="16"/>
              </w:rPr>
              <w:t>Periodically</w:t>
            </w:r>
          </w:p>
        </w:tc>
        <w:tc>
          <w:tcPr>
            <w:tcW w:type="dxa" w:w="1296"/>
            <w:shd w:val="clear" w:fill="F4F7FB"/>
          </w:tcPr>
          <w:p>
            <w:r/>
            <w:r>
              <w:rPr>
                <w:rFonts w:ascii="Arial" w:hAnsi="Arial"/>
                <w:b w:val="0"/>
                <w:sz w:val="16"/>
              </w:rPr>
              <w:t>External report</w:t>
            </w:r>
          </w:p>
        </w:tc>
      </w:tr>
    </w:tbl>
    <w:p>
      <w:pPr>
        <w:pStyle w:val="Heading1"/>
      </w:pPr>
      <w:r>
        <w:t>7. Sample Practices / Actions</w:t>
      </w:r>
    </w:p>
    <w:p>
      <w:pPr>
        <w:pStyle w:val="ListBullet"/>
      </w:pPr>
      <w:r>
        <w:rPr>
          <w:sz w:val="19"/>
        </w:rPr>
        <w:t>A scored board evaluation completed</w:t>
      </w:r>
    </w:p>
    <w:p>
      <w:pPr>
        <w:pStyle w:val="ListBullet"/>
      </w:pPr>
      <w:r>
        <w:rPr>
          <w:sz w:val="19"/>
        </w:rPr>
        <w:t>Committee effectiveness assessed</w:t>
      </w:r>
    </w:p>
    <w:p>
      <w:pPr>
        <w:pStyle w:val="ListBullet"/>
      </w:pPr>
      <w:r>
        <w:rPr>
          <w:sz w:val="19"/>
        </w:rPr>
        <w:t>Director peer/self evaluation completed</w:t>
      </w:r>
    </w:p>
    <w:p>
      <w:pPr>
        <w:pStyle w:val="ListBullet"/>
      </w:pPr>
      <w:r>
        <w:rPr>
          <w:sz w:val="19"/>
        </w:rPr>
        <w:t>External facilitation on a periodic cycle</w:t>
      </w:r>
    </w:p>
    <w:p>
      <w:pPr>
        <w:pStyle w:val="ListBullet"/>
      </w:pPr>
      <w:r>
        <w:rPr>
          <w:sz w:val="19"/>
        </w:rPr>
        <w:t>An evaluation action plan tracked to closure</w:t>
      </w:r>
    </w:p>
    <w:p>
      <w:pPr>
        <w:pStyle w:val="Heading1"/>
      </w:pPr>
      <w:r>
        <w:t>8. Assessment &amp; Evaluation Approach</w:t>
      </w:r>
    </w:p>
    <w:p>
      <w:r>
        <w:rPr>
          <w:b w:val="0"/>
          <w:i w:val="0"/>
          <w:sz w:val="20"/>
        </w:rPr>
        <w:t>Assess maturity first, then evaluate effectiveness in practice. Use the scale: Effective / Partially effective / Ineffective, and the 0–100 maturity index where a scored workbook is provided.</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Method</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Cadence</w:t>
            </w:r>
          </w:p>
        </w:tc>
      </w:tr>
      <w:tr>
        <w:tc>
          <w:tcPr>
            <w:tcW w:type="dxa" w:w="2880"/>
          </w:tcPr>
          <w:p>
            <w:r/>
            <w:r>
              <w:rPr>
                <w:rFonts w:ascii="Arial" w:hAnsi="Arial"/>
                <w:b w:val="0"/>
                <w:sz w:val="16"/>
              </w:rPr>
              <w:t>Board evaluation</w:t>
            </w:r>
          </w:p>
        </w:tc>
        <w:tc>
          <w:tcPr>
            <w:tcW w:type="dxa" w:w="4320"/>
          </w:tcPr>
          <w:p>
            <w:r/>
            <w:r>
              <w:rPr>
                <w:rFonts w:ascii="Arial" w:hAnsi="Arial"/>
                <w:b w:val="0"/>
                <w:sz w:val="16"/>
              </w:rPr>
              <w:t>Run the board evaluation questionnaire</w:t>
            </w:r>
          </w:p>
        </w:tc>
        <w:tc>
          <w:tcPr>
            <w:tcW w:type="dxa" w:w="2160"/>
          </w:tcPr>
          <w:p>
            <w:r/>
            <w:r>
              <w:rPr>
                <w:rFonts w:ascii="Arial" w:hAnsi="Arial"/>
                <w:b w:val="0"/>
                <w:sz w:val="16"/>
              </w:rPr>
              <w:t>Full board</w:t>
            </w:r>
          </w:p>
        </w:tc>
        <w:tc>
          <w:tcPr>
            <w:tcW w:type="dxa" w:w="1440"/>
          </w:tcPr>
          <w:p>
            <w:r/>
            <w:r>
              <w:rPr>
                <w:rFonts w:ascii="Arial" w:hAnsi="Arial"/>
                <w:b w:val="0"/>
                <w:sz w:val="16"/>
              </w:rPr>
              <w:t>Annually</w:t>
            </w:r>
          </w:p>
        </w:tc>
      </w:tr>
      <w:tr>
        <w:tc>
          <w:tcPr>
            <w:tcW w:type="dxa" w:w="2880"/>
            <w:shd w:val="clear" w:fill="F4F7FB"/>
          </w:tcPr>
          <w:p>
            <w:r/>
            <w:r>
              <w:rPr>
                <w:rFonts w:ascii="Arial" w:hAnsi="Arial"/>
                <w:b w:val="0"/>
                <w:sz w:val="16"/>
              </w:rPr>
              <w:t>Committee evaluation</w:t>
            </w:r>
          </w:p>
        </w:tc>
        <w:tc>
          <w:tcPr>
            <w:tcW w:type="dxa" w:w="4320"/>
            <w:shd w:val="clear" w:fill="F4F7FB"/>
          </w:tcPr>
          <w:p>
            <w:r/>
            <w:r>
              <w:rPr>
                <w:rFonts w:ascii="Arial" w:hAnsi="Arial"/>
                <w:b w:val="0"/>
                <w:sz w:val="16"/>
              </w:rPr>
              <w:t>Run the committee effectiveness assessment</w:t>
            </w:r>
          </w:p>
        </w:tc>
        <w:tc>
          <w:tcPr>
            <w:tcW w:type="dxa" w:w="2160"/>
            <w:shd w:val="clear" w:fill="F4F7FB"/>
          </w:tcPr>
          <w:p>
            <w:r/>
            <w:r>
              <w:rPr>
                <w:rFonts w:ascii="Arial" w:hAnsi="Arial"/>
                <w:b w:val="0"/>
                <w:sz w:val="16"/>
              </w:rPr>
              <w:t>Each committee</w:t>
            </w:r>
          </w:p>
        </w:tc>
        <w:tc>
          <w:tcPr>
            <w:tcW w:type="dxa" w:w="1440"/>
            <w:shd w:val="clear" w:fill="F4F7FB"/>
          </w:tcPr>
          <w:p>
            <w:r/>
            <w:r>
              <w:rPr>
                <w:rFonts w:ascii="Arial" w:hAnsi="Arial"/>
                <w:b w:val="0"/>
                <w:sz w:val="16"/>
              </w:rPr>
              <w:t>Annually</w:t>
            </w:r>
          </w:p>
        </w:tc>
      </w:tr>
      <w:tr>
        <w:tc>
          <w:tcPr>
            <w:tcW w:type="dxa" w:w="2880"/>
          </w:tcPr>
          <w:p>
            <w:r/>
            <w:r>
              <w:rPr>
                <w:rFonts w:ascii="Arial" w:hAnsi="Arial"/>
                <w:b w:val="0"/>
                <w:sz w:val="16"/>
              </w:rPr>
              <w:t>Action follow-through</w:t>
            </w:r>
          </w:p>
        </w:tc>
        <w:tc>
          <w:tcPr>
            <w:tcW w:type="dxa" w:w="4320"/>
          </w:tcPr>
          <w:p>
            <w:r/>
            <w:r>
              <w:rPr>
                <w:rFonts w:ascii="Arial" w:hAnsi="Arial"/>
                <w:b w:val="0"/>
                <w:sz w:val="16"/>
              </w:rPr>
              <w:t>Review the evaluation action plan</w:t>
            </w:r>
          </w:p>
        </w:tc>
        <w:tc>
          <w:tcPr>
            <w:tcW w:type="dxa" w:w="2160"/>
          </w:tcPr>
          <w:p>
            <w:r/>
            <w:r>
              <w:rPr>
                <w:rFonts w:ascii="Arial" w:hAnsi="Arial"/>
                <w:b w:val="0"/>
                <w:sz w:val="16"/>
              </w:rPr>
              <w:t>Full</w:t>
            </w:r>
          </w:p>
        </w:tc>
        <w:tc>
          <w:tcPr>
            <w:tcW w:type="dxa" w:w="1440"/>
          </w:tcPr>
          <w:p>
            <w:r/>
            <w:r>
              <w:rPr>
                <w:rFonts w:ascii="Arial" w:hAnsi="Arial"/>
                <w:b w:val="0"/>
                <w:sz w:val="16"/>
              </w:rPr>
              <w:t>Quarterly</w:t>
            </w:r>
          </w:p>
        </w:tc>
      </w:tr>
    </w:tbl>
    <w:p>
      <w:r>
        <w:rPr>
          <w:b w:val="0"/>
          <w:i/>
          <w:sz w:val="18"/>
        </w:rPr>
        <w:t>Record results in the relevant workbook (e.g. Board Evaluation Questionnaire, Board Maturity Assessment Workbook) and track actions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Design scope and method</w:t>
            </w:r>
          </w:p>
        </w:tc>
        <w:tc>
          <w:tcPr>
            <w:tcW w:type="dxa" w:w="4320"/>
          </w:tcPr>
          <w:p>
            <w:r/>
            <w:r>
              <w:rPr>
                <w:rFonts w:ascii="Arial" w:hAnsi="Arial"/>
                <w:b w:val="0"/>
                <w:sz w:val="17"/>
              </w:rPr>
              <w:t>Evaluation plan</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Run the evaluation</w:t>
            </w:r>
          </w:p>
        </w:tc>
        <w:tc>
          <w:tcPr>
            <w:tcW w:type="dxa" w:w="4320"/>
            <w:shd w:val="clear" w:fill="F4F7FB"/>
          </w:tcPr>
          <w:p>
            <w:r/>
            <w:r>
              <w:rPr>
                <w:rFonts w:ascii="Arial" w:hAnsi="Arial"/>
                <w:b w:val="0"/>
                <w:sz w:val="17"/>
              </w:rPr>
              <w:t>Evidence and findings</w:t>
            </w:r>
          </w:p>
        </w:tc>
      </w:tr>
      <w:tr>
        <w:tc>
          <w:tcPr>
            <w:tcW w:type="dxa" w:w="1872"/>
          </w:tcPr>
          <w:p>
            <w:r/>
            <w:r>
              <w:rPr>
                <w:rFonts w:ascii="Arial" w:hAnsi="Arial"/>
                <w:b w:val="0"/>
                <w:sz w:val="17"/>
              </w:rPr>
              <w:t>Phase 3</w:t>
            </w:r>
          </w:p>
        </w:tc>
        <w:tc>
          <w:tcPr>
            <w:tcW w:type="dxa" w:w="5328"/>
          </w:tcPr>
          <w:p>
            <w:r/>
            <w:r>
              <w:rPr>
                <w:rFonts w:ascii="Arial" w:hAnsi="Arial"/>
                <w:b w:val="0"/>
                <w:sz w:val="17"/>
              </w:rPr>
              <w:t>Feed back and report</w:t>
            </w:r>
          </w:p>
        </w:tc>
        <w:tc>
          <w:tcPr>
            <w:tcW w:type="dxa" w:w="4320"/>
          </w:tcPr>
          <w:p>
            <w:r/>
            <w:r>
              <w:rPr>
                <w:rFonts w:ascii="Arial" w:hAnsi="Arial"/>
                <w:b w:val="0"/>
                <w:sz w:val="17"/>
              </w:rPr>
              <w:t>Shared insight</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Act and track</w:t>
            </w:r>
          </w:p>
        </w:tc>
        <w:tc>
          <w:tcPr>
            <w:tcW w:type="dxa" w:w="4320"/>
            <w:shd w:val="clear" w:fill="F4F7FB"/>
          </w:tcPr>
          <w:p>
            <w:r/>
            <w:r>
              <w:rPr>
                <w:rFonts w:ascii="Arial" w:hAnsi="Arial"/>
                <w:b w:val="0"/>
                <w:sz w:val="17"/>
              </w:rPr>
              <w:t>Improvement delivered</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Board Evaluation Questionnaire (XLSX)</w:t>
      </w:r>
    </w:p>
    <w:p>
      <w:pPr>
        <w:pStyle w:val="ListBullet"/>
      </w:pPr>
      <w:r>
        <w:rPr>
          <w:sz w:val="19"/>
        </w:rPr>
        <w:t>Committee Effectiveness Assessment (XLSX)</w:t>
      </w:r>
    </w:p>
    <w:p>
      <w:pPr>
        <w:pStyle w:val="ListBullet"/>
      </w:pPr>
      <w:r>
        <w:rPr>
          <w:sz w:val="19"/>
        </w:rPr>
        <w:t>Director Peer Evaluation Template</w:t>
      </w:r>
    </w:p>
    <w:p>
      <w:pPr>
        <w:pStyle w:val="ListBullet"/>
      </w:pPr>
      <w:r>
        <w:rPr>
          <w:sz w:val="19"/>
        </w:rPr>
        <w:t>Board Evaluation Action Plan Template</w:t>
      </w:r>
    </w:p>
    <w:p>
      <w:pPr>
        <w:pStyle w:val="ListBullet"/>
      </w:pPr>
      <w:r>
        <w:rPr>
          <w:sz w:val="19"/>
        </w:rPr>
        <w:t>Board Action Tracker (XLSX)</w:t>
      </w:r>
    </w:p>
    <w:p>
      <w:pPr>
        <w:pStyle w:val="Heading1"/>
      </w:pPr>
      <w:r>
        <w:t>11. Checklists</w:t>
      </w:r>
    </w:p>
    <w:p>
      <w:pPr>
        <w:ind w:left="288"/>
      </w:pPr>
      <w:r>
        <w:rPr>
          <w:sz w:val="19"/>
        </w:rPr>
        <w:t>☐  Evaluation scope and method agreed</w:t>
      </w:r>
    </w:p>
    <w:p>
      <w:pPr>
        <w:ind w:left="288"/>
      </w:pPr>
      <w:r>
        <w:rPr>
          <w:sz w:val="19"/>
        </w:rPr>
        <w:t>☐  Instruments selected</w:t>
      </w:r>
    </w:p>
    <w:p>
      <w:pPr>
        <w:ind w:left="288"/>
      </w:pPr>
      <w:r>
        <w:rPr>
          <w:sz w:val="19"/>
        </w:rPr>
        <w:t>☐  Board evaluation completed</w:t>
      </w:r>
    </w:p>
    <w:p>
      <w:pPr>
        <w:ind w:left="288"/>
      </w:pPr>
      <w:r>
        <w:rPr>
          <w:sz w:val="19"/>
        </w:rPr>
        <w:t>☐  Committee evaluations completed</w:t>
      </w:r>
    </w:p>
    <w:p>
      <w:pPr>
        <w:ind w:left="288"/>
      </w:pPr>
      <w:r>
        <w:rPr>
          <w:sz w:val="19"/>
        </w:rPr>
        <w:t>☐  Director evaluations completed</w:t>
      </w:r>
    </w:p>
    <w:p>
      <w:pPr>
        <w:ind w:left="288"/>
      </w:pPr>
      <w:r>
        <w:rPr>
          <w:sz w:val="19"/>
        </w:rPr>
        <w:t>☐  Results fed back constructively</w:t>
      </w:r>
    </w:p>
    <w:p>
      <w:pPr>
        <w:ind w:left="288"/>
      </w:pPr>
      <w:r>
        <w:rPr>
          <w:sz w:val="19"/>
        </w:rPr>
        <w:t>☐  Action plan agreed</w:t>
      </w:r>
    </w:p>
    <w:p>
      <w:pPr>
        <w:ind w:left="288"/>
      </w:pPr>
      <w:r>
        <w:rPr>
          <w:sz w:val="19"/>
        </w:rPr>
        <w:t>☐  Actions tracked to closure</w:t>
      </w:r>
    </w:p>
    <w:p>
      <w:pPr>
        <w:pStyle w:val="Heading1"/>
      </w:pPr>
      <w:r>
        <w:t>12. Board Reporting Examples</w:t>
      </w:r>
    </w:p>
    <w:p>
      <w:r>
        <w:rPr>
          <w:b w:val="0"/>
          <w:i w:val="0"/>
          <w:sz w:val="19"/>
        </w:rPr>
        <w:t>Standard board report: executive summary · effectiveness vs target (RAG) · key metrics ·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Evaluation completed</w:t>
            </w:r>
          </w:p>
        </w:tc>
        <w:tc>
          <w:tcPr>
            <w:tcW w:type="dxa" w:w="1440"/>
          </w:tcPr>
          <w:p>
            <w:r/>
            <w:r>
              <w:rPr>
                <w:rFonts w:ascii="Arial" w:hAnsi="Arial"/>
                <w:b w:val="0"/>
                <w:sz w:val="16"/>
              </w:rPr>
              <w:t>On time</w:t>
            </w:r>
          </w:p>
        </w:tc>
        <w:tc>
          <w:tcPr>
            <w:tcW w:type="dxa" w:w="1440"/>
          </w:tcPr>
          <w:p>
            <w:r/>
            <w:r>
              <w:rPr>
                <w:rFonts w:ascii="Arial" w:hAnsi="Arial"/>
                <w:b w:val="0"/>
                <w:sz w:val="16"/>
              </w:rPr>
              <w:t>On time</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3168"/>
            <w:shd w:val="clear" w:fill="F4F7FB"/>
          </w:tcPr>
          <w:p>
            <w:r/>
            <w:r>
              <w:rPr>
                <w:rFonts w:ascii="Arial" w:hAnsi="Arial"/>
                <w:b w:val="0"/>
                <w:sz w:val="16"/>
              </w:rPr>
              <w:t>Evaluation actions closed</w:t>
            </w:r>
          </w:p>
        </w:tc>
        <w:tc>
          <w:tcPr>
            <w:tcW w:type="dxa" w:w="1440"/>
            <w:shd w:val="clear" w:fill="F4F7FB"/>
          </w:tcPr>
          <w:p>
            <w:r/>
            <w:r>
              <w:rPr>
                <w:rFonts w:ascii="Arial" w:hAnsi="Arial"/>
                <w:b w:val="0"/>
                <w:sz w:val="16"/>
              </w:rPr>
              <w:t>75%</w:t>
            </w:r>
          </w:p>
        </w:tc>
        <w:tc>
          <w:tcPr>
            <w:tcW w:type="dxa" w:w="1440"/>
            <w:shd w:val="clear" w:fill="F4F7FB"/>
          </w:tcPr>
          <w:p>
            <w:r/>
            <w:r>
              <w:rPr>
                <w:rFonts w:ascii="Arial" w:hAnsi="Arial"/>
                <w:b w:val="0"/>
                <w:sz w:val="16"/>
              </w:rPr>
              <w:t>≥90%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Accelerate</w:t>
            </w:r>
          </w:p>
        </w:tc>
      </w:tr>
      <w:tr>
        <w:tc>
          <w:tcPr>
            <w:tcW w:type="dxa" w:w="3168"/>
          </w:tcPr>
          <w:p>
            <w:r/>
            <w:r>
              <w:rPr>
                <w:rFonts w:ascii="Arial" w:hAnsi="Arial"/>
                <w:b w:val="0"/>
                <w:sz w:val="16"/>
              </w:rPr>
              <w:t>External evaluation</w:t>
            </w:r>
          </w:p>
        </w:tc>
        <w:tc>
          <w:tcPr>
            <w:tcW w:type="dxa" w:w="1440"/>
          </w:tcPr>
          <w:p>
            <w:r/>
            <w:r>
              <w:rPr>
                <w:rFonts w:ascii="Arial" w:hAnsi="Arial"/>
                <w:b w:val="0"/>
                <w:sz w:val="16"/>
              </w:rPr>
              <w:t>Due</w:t>
            </w:r>
          </w:p>
        </w:tc>
        <w:tc>
          <w:tcPr>
            <w:tcW w:type="dxa" w:w="1440"/>
          </w:tcPr>
          <w:p>
            <w:r/>
            <w:r>
              <w:rPr>
                <w:rFonts w:ascii="Arial" w:hAnsi="Arial"/>
                <w:b w:val="0"/>
                <w:sz w:val="16"/>
              </w:rPr>
              <w:t>On cycle</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Schedule</w:t>
            </w:r>
          </w:p>
        </w:tc>
      </w:tr>
      <w:tr>
        <w:tc>
          <w:tcPr>
            <w:tcW w:type="dxa" w:w="3168"/>
            <w:shd w:val="clear" w:fill="F4F7FB"/>
          </w:tcPr>
          <w:p>
            <w:r/>
            <w:r>
              <w:rPr>
                <w:rFonts w:ascii="Arial" w:hAnsi="Arial"/>
                <w:b w:val="0"/>
                <w:sz w:val="16"/>
              </w:rPr>
              <w:t>Director participation</w:t>
            </w:r>
          </w:p>
        </w:tc>
        <w:tc>
          <w:tcPr>
            <w:tcW w:type="dxa" w:w="1440"/>
            <w:shd w:val="clear" w:fill="F4F7FB"/>
          </w:tcPr>
          <w:p>
            <w:r/>
            <w:r>
              <w:rPr>
                <w:rFonts w:ascii="Arial" w:hAnsi="Arial"/>
                <w:b w:val="0"/>
                <w:sz w:val="16"/>
              </w:rPr>
              <w:t>100%</w:t>
            </w:r>
          </w:p>
        </w:tc>
        <w:tc>
          <w:tcPr>
            <w:tcW w:type="dxa" w:w="1440"/>
            <w:shd w:val="clear" w:fill="F4F7FB"/>
          </w:tcPr>
          <w:p>
            <w:r/>
            <w:r>
              <w:rPr>
                <w:rFonts w:ascii="Arial" w:hAnsi="Arial"/>
                <w:b w:val="0"/>
                <w:sz w:val="16"/>
              </w:rPr>
              <w:t>100%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1"/>
      </w:pPr>
      <w:r>
        <w:t>13. Committee / Board Reporting</w:t>
      </w:r>
    </w:p>
    <w:p>
      <w:r>
        <w:rPr>
          <w:b w:val="0"/>
          <w:i/>
          <w:sz w:val="19"/>
        </w:rPr>
        <w:t>Illustrative one-page summary for the board or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Board evaluation</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Completed on schedule</w:t>
            </w:r>
          </w:p>
        </w:tc>
      </w:tr>
      <w:tr>
        <w:tc>
          <w:tcPr>
            <w:tcW w:type="dxa" w:w="2736"/>
            <w:shd w:val="clear" w:fill="F4F7FB"/>
          </w:tcPr>
          <w:p>
            <w:r/>
            <w:r>
              <w:rPr>
                <w:rFonts w:ascii="Arial" w:hAnsi="Arial"/>
                <w:b w:val="0"/>
                <w:sz w:val="16"/>
              </w:rPr>
              <w:t>Actions</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In progress</w:t>
            </w:r>
          </w:p>
        </w:tc>
      </w:tr>
      <w:tr>
        <w:tc>
          <w:tcPr>
            <w:tcW w:type="dxa" w:w="2736"/>
          </w:tcPr>
          <w:p>
            <w:r/>
            <w:r>
              <w:rPr>
                <w:rFonts w:ascii="Arial" w:hAnsi="Arial"/>
                <w:b w:val="0"/>
                <w:sz w:val="16"/>
              </w:rPr>
              <w:t>External cycle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Due this cycle</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action plan and external review</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Board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Practice effective; at or above expectation</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Practice partially effective or below target</w:t>
            </w:r>
          </w:p>
        </w:tc>
        <w:tc>
          <w:tcPr>
            <w:tcW w:type="dxa" w:w="2880"/>
            <w:shd w:val="clear" w:fill="F4F7FB"/>
          </w:tcPr>
          <w:p>
            <w:r/>
            <w:r>
              <w:rPr>
                <w:rFonts w:ascii="Arial" w:hAnsi="Arial"/>
                <w:b w:val="0"/>
                <w:sz w:val="16"/>
              </w:rPr>
              <w:t>Improve and re-evaluate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Practice ineffective or materially below target</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