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360"/>
      </w:pPr>
      <w:r>
        <w:rPr>
          <w:rFonts w:ascii="Arial" w:cs="Arial" w:eastAsia="Arial" w:hAnsi="Arial"/>
          <w:b/>
          <w:bCs/>
          <w:sz w:val="32"/>
          <w:szCs w:val="32"/>
        </w:rPr>
        <w:t xml:space="preserve">COSO Self-Assessment Toolkit</w:t>
      </w:r>
    </w:p>
    <w:p>
      <w:pPr>
        <w:spacing w:after="120"/>
        <w:rPr>
          <w:i/>
          <w:iCs/>
          <w:color w:val="595959"/>
        </w:rPr>
      </w:pPr>
      <w:r>
        <w:rPr>
          <w:rFonts w:ascii="Arial" w:cs="Arial" w:eastAsia="Arial" w:hAnsi="Arial"/>
          <w:i/>
          <w:iCs/>
          <w:color w:val="595959"/>
        </w:rPr>
        <w:t xml:space="preserve">Companion guide to the COSO Self-Assessment Workbook (.xlsx). Use this document to brief management, internal audit and the audit committee on how the self-assessment is performed and how results should be interpreted.</w:t>
      </w:r>
    </w:p>
    <w:p>
      <w:pPr>
        <w:pStyle w:val="Heading2"/>
        <w:spacing w:after="160" w:before="240"/>
      </w:pPr>
      <w:r>
        <w:rPr>
          <w:rFonts w:ascii="Arial" w:cs="Arial" w:eastAsia="Arial" w:hAnsi="Arial"/>
          <w:b/>
          <w:bCs/>
          <w:sz w:val="26"/>
          <w:szCs w:val="26"/>
        </w:rPr>
        <w:t xml:space="preserve">1. Purpose &amp; scope</w:t>
      </w:r>
    </w:p>
    <w:p>
      <w:pPr>
        <w:spacing w:after="120"/>
      </w:pPr>
      <w:r>
        <w:rPr>
          <w:rFonts w:ascii="Arial" w:cs="Arial" w:eastAsia="Arial" w:hAnsi="Arial"/>
        </w:rPr>
        <w:t xml:space="preserve">This toolkit helps Nigerian organisations assess the design and operating effectiveness of internal control using the COSO 2013 Internal Control - Integrated Framework. It is intended for management self-assessment, internal audit walkthroughs and audit committee oversight. It is not an external audit programme.</w:t>
      </w:r>
    </w:p>
    <w:p>
      <w:pPr>
        <w:spacing w:after="120"/>
      </w:pPr>
      <w:r>
        <w:rPr>
          <w:rFonts w:ascii="Arial" w:cs="Arial" w:eastAsia="Arial" w:hAnsi="Arial"/>
        </w:rPr>
        <w:t xml:space="preserve">It covers all five COSO components and the 17 underlying principles. The workbook provides principle-level scoring, an evidence prompt, a gap field, a remediation field and an automatic scoring summary.</w:t>
      </w:r>
    </w:p>
    <w:p>
      <w:pPr>
        <w:pStyle w:val="Heading2"/>
        <w:spacing w:after="160" w:before="240"/>
      </w:pPr>
      <w:r>
        <w:rPr>
          <w:rFonts w:ascii="Arial" w:cs="Arial" w:eastAsia="Arial" w:hAnsi="Arial"/>
          <w:b/>
          <w:bCs/>
          <w:sz w:val="26"/>
          <w:szCs w:val="26"/>
        </w:rPr>
        <w:t xml:space="preserve">2.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Role</w:t>
            </w:r>
          </w:p>
        </w:tc>
        <w:tc>
          <w:tcPr>
            <w:tcW w:type="dxa" w:w="696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Responsibility</w:t>
            </w:r>
          </w:p>
        </w:tc>
      </w:tr>
      <w:tr>
        <w:tc>
          <w:tcPr>
            <w:tcW w:type="dxa" w:w="2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Process owner</w:t>
            </w:r>
          </w:p>
        </w:tc>
        <w:tc>
          <w:tcPr>
            <w:tcW w:type="dxa" w:w="69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Completes draft scoring; gathers evidence.</w:t>
            </w:r>
          </w:p>
        </w:tc>
      </w:tr>
      <w:tr>
        <w:tc>
          <w:tcPr>
            <w:tcW w:type="dxa" w:w="24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Internal audit</w:t>
            </w:r>
          </w:p>
        </w:tc>
        <w:tc>
          <w:tcPr>
            <w:tcW w:type="dxa" w:w="69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Validates scoring; identifies design gaps; tests operating effectiveness.</w:t>
            </w:r>
          </w:p>
        </w:tc>
      </w:tr>
      <w:tr>
        <w:tc>
          <w:tcPr>
            <w:tcW w:type="dxa" w:w="2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CFO</w:t>
            </w:r>
          </w:p>
        </w:tc>
        <w:tc>
          <w:tcPr>
            <w:tcW w:type="dxa" w:w="69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Confirms financial-reporting components; signs off.</w:t>
            </w:r>
          </w:p>
        </w:tc>
      </w:tr>
      <w:tr>
        <w:tc>
          <w:tcPr>
            <w:tcW w:type="dxa" w:w="24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CEO</w:t>
            </w:r>
          </w:p>
        </w:tc>
        <w:tc>
          <w:tcPr>
            <w:tcW w:type="dxa" w:w="69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Confirms enterprise-wide effectiveness; signs off.</w:t>
            </w:r>
          </w:p>
        </w:tc>
      </w:tr>
      <w:tr>
        <w:tc>
          <w:tcPr>
            <w:tcW w:type="dxa" w:w="2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Audit committee</w:t>
            </w:r>
          </w:p>
        </w:tc>
        <w:tc>
          <w:tcPr>
            <w:tcW w:type="dxa" w:w="69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Reviews results; tracks remediation; reports to the board.</w:t>
            </w:r>
          </w:p>
        </w:tc>
      </w:tr>
    </w:tbl>
    <w:p>
      <w:pPr>
        <w:pStyle w:val="Heading2"/>
        <w:spacing w:after="160" w:before="240"/>
      </w:pPr>
      <w:r>
        <w:rPr>
          <w:rFonts w:ascii="Arial" w:cs="Arial" w:eastAsia="Arial" w:hAnsi="Arial"/>
          <w:b/>
          <w:bCs/>
          <w:sz w:val="26"/>
          <w:szCs w:val="26"/>
        </w:rPr>
        <w:t xml:space="preserve">3. COSO components</w:t>
      </w:r>
    </w:p>
    <w:p>
      <w:pPr>
        <w:pStyle w:val="Heading3"/>
        <w:spacing w:after="160" w:before="240"/>
      </w:pPr>
      <w:r>
        <w:rPr>
          <w:rFonts w:ascii="Arial" w:cs="Arial" w:eastAsia="Arial" w:hAnsi="Arial"/>
          <w:b/>
          <w:bCs/>
          <w:sz w:val="22"/>
          <w:szCs w:val="22"/>
        </w:rPr>
        <w:t xml:space="preserve">3.1 Control environment (CE1-CE5)</w:t>
      </w:r>
    </w:p>
    <w:p>
      <w:pPr>
        <w:spacing w:after="120"/>
      </w:pPr>
      <w:r>
        <w:rPr>
          <w:rFonts w:ascii="Arial" w:cs="Arial" w:eastAsia="Arial" w:hAnsi="Arial"/>
        </w:rPr>
        <w:t xml:space="preserve">Tone at the top, integrity, board oversight, structure, competence and accountability. Weakness here invalidates effectiveness in all other components.</w:t>
      </w:r>
    </w:p>
    <w:p>
      <w:pPr>
        <w:pStyle w:val="Heading3"/>
        <w:spacing w:after="160" w:before="240"/>
      </w:pPr>
      <w:r>
        <w:rPr>
          <w:rFonts w:ascii="Arial" w:cs="Arial" w:eastAsia="Arial" w:hAnsi="Arial"/>
          <w:b/>
          <w:bCs/>
          <w:sz w:val="22"/>
          <w:szCs w:val="22"/>
        </w:rPr>
        <w:t xml:space="preserve">3.2 Risk assessment (RA1-RA4)</w:t>
      </w:r>
    </w:p>
    <w:p>
      <w:pPr>
        <w:spacing w:after="120"/>
      </w:pPr>
      <w:r>
        <w:rPr>
          <w:rFonts w:ascii="Arial" w:cs="Arial" w:eastAsia="Arial" w:hAnsi="Arial"/>
        </w:rPr>
        <w:t xml:space="preserve">Objectives, risk identification and analysis, fraud risk, and assessment of significant change. Linked to the enterprise risk register and fraud risk assessment.</w:t>
      </w:r>
    </w:p>
    <w:p>
      <w:pPr>
        <w:pStyle w:val="Heading3"/>
        <w:spacing w:after="160" w:before="240"/>
      </w:pPr>
      <w:r>
        <w:rPr>
          <w:rFonts w:ascii="Arial" w:cs="Arial" w:eastAsia="Arial" w:hAnsi="Arial"/>
          <w:b/>
          <w:bCs/>
          <w:sz w:val="22"/>
          <w:szCs w:val="22"/>
        </w:rPr>
        <w:t xml:space="preserve">3.3 Control activities (CA1-CA3)</w:t>
      </w:r>
    </w:p>
    <w:p>
      <w:pPr>
        <w:spacing w:after="120"/>
      </w:pPr>
      <w:r>
        <w:rPr>
          <w:rFonts w:ascii="Arial" w:cs="Arial" w:eastAsia="Arial" w:hAnsi="Arial"/>
        </w:rPr>
        <w:t xml:space="preserve">Selection and development of control activities, IT general controls and deployment through policies and procedures. Anchored in the risk and control matrix (RCM).</w:t>
      </w:r>
    </w:p>
    <w:p>
      <w:pPr>
        <w:pStyle w:val="Heading3"/>
        <w:spacing w:after="160" w:before="240"/>
      </w:pPr>
      <w:r>
        <w:rPr>
          <w:rFonts w:ascii="Arial" w:cs="Arial" w:eastAsia="Arial" w:hAnsi="Arial"/>
          <w:b/>
          <w:bCs/>
          <w:sz w:val="22"/>
          <w:szCs w:val="22"/>
        </w:rPr>
        <w:t xml:space="preserve">3.4 Information and communication (IC1-IC3)</w:t>
      </w:r>
    </w:p>
    <w:p>
      <w:pPr>
        <w:spacing w:after="120"/>
      </w:pPr>
      <w:r>
        <w:rPr>
          <w:rFonts w:ascii="Arial" w:cs="Arial" w:eastAsia="Arial" w:hAnsi="Arial"/>
        </w:rPr>
        <w:t xml:space="preserve">Use of relevant information, internal communication, and external communication. Includes the whistleblowing channel and regulator reporting.</w:t>
      </w:r>
    </w:p>
    <w:p>
      <w:pPr>
        <w:pStyle w:val="Heading3"/>
        <w:spacing w:after="160" w:before="240"/>
      </w:pPr>
      <w:r>
        <w:rPr>
          <w:rFonts w:ascii="Arial" w:cs="Arial" w:eastAsia="Arial" w:hAnsi="Arial"/>
          <w:b/>
          <w:bCs/>
          <w:sz w:val="22"/>
          <w:szCs w:val="22"/>
        </w:rPr>
        <w:t xml:space="preserve">3.5 Monitoring activities (MA1-MA2)</w:t>
      </w:r>
    </w:p>
    <w:p>
      <w:pPr>
        <w:spacing w:after="120"/>
      </w:pPr>
      <w:r>
        <w:rPr>
          <w:rFonts w:ascii="Arial" w:cs="Arial" w:eastAsia="Arial" w:hAnsi="Arial"/>
        </w:rPr>
        <w:t xml:space="preserve">Ongoing and separate evaluations, and evaluation and communication of deficiencies. Includes internal audit, control self-assessment and continuous control monitoring.</w:t>
      </w:r>
    </w:p>
    <w:p>
      <w:pPr>
        <w:pStyle w:val="Heading2"/>
        <w:spacing w:after="160" w:before="240"/>
      </w:pPr>
      <w:r>
        <w:rPr>
          <w:rFonts w:ascii="Arial" w:cs="Arial" w:eastAsia="Arial" w:hAnsi="Arial"/>
          <w:b/>
          <w:bCs/>
          <w:sz w:val="26"/>
          <w:szCs w:val="26"/>
        </w:rPr>
        <w:t xml:space="preserve">4. Rating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Score</w:t>
            </w:r>
          </w:p>
        </w:tc>
        <w:tc>
          <w:tcPr>
            <w:tcW w:type="dxa" w:w="7960"/>
            <w:tcBorders>
              <w:top w:val="single" w:color="B7B7B7" w:sz="1"/>
              <w:left w:val="single" w:color="B7B7B7" w:sz="1"/>
              <w:bottom w:val="single" w:color="B7B7B7" w:sz="1"/>
              <w:right w:val="single" w:color="B7B7B7" w:sz="1"/>
            </w:tcBorders>
            <w:shd w:fill="1F3864" w:val="clear"/>
            <w:tcMar>
              <w:top w:type="dxa" w:w="100"/>
              <w:left w:type="dxa" w:w="140"/>
              <w:bottom w:type="dxa" w:w="100"/>
              <w:right w:type="dxa" w:w="140"/>
            </w:tcMar>
          </w:tcPr>
          <w:p>
            <w:r>
              <w:rPr>
                <w:rFonts w:ascii="Arial" w:cs="Arial" w:eastAsia="Arial" w:hAnsi="Arial"/>
                <w:b/>
                <w:bCs/>
                <w:color w:val="FFFFFF"/>
                <w:sz w:val="20"/>
                <w:szCs w:val="20"/>
              </w:rPr>
              <w:t xml:space="preserve">Meaning</w:t>
            </w:r>
          </w:p>
        </w:tc>
      </w:tr>
      <w:tr>
        <w:tc>
          <w:tcPr>
            <w:tcW w:type="dxa" w:w="1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1</w:t>
            </w:r>
          </w:p>
        </w:tc>
        <w:tc>
          <w:tcPr>
            <w:tcW w:type="dxa" w:w="79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Not present - no documented control or activity.</w:t>
            </w:r>
          </w:p>
        </w:tc>
      </w:tr>
      <w:tr>
        <w:tc>
          <w:tcPr>
            <w:tcW w:type="dxa" w:w="14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2</w:t>
            </w:r>
          </w:p>
        </w:tc>
        <w:tc>
          <w:tcPr>
            <w:tcW w:type="dxa" w:w="79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Ad hoc - performed inconsistently or informally.</w:t>
            </w:r>
          </w:p>
        </w:tc>
      </w:tr>
      <w:tr>
        <w:tc>
          <w:tcPr>
            <w:tcW w:type="dxa" w:w="1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3</w:t>
            </w:r>
          </w:p>
        </w:tc>
        <w:tc>
          <w:tcPr>
            <w:tcW w:type="dxa" w:w="79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Documented - control exists and is performed; limited assurance over consistency.</w:t>
            </w:r>
          </w:p>
        </w:tc>
      </w:tr>
      <w:tr>
        <w:tc>
          <w:tcPr>
            <w:tcW w:type="dxa" w:w="140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4</w:t>
            </w:r>
          </w:p>
        </w:tc>
        <w:tc>
          <w:tcPr>
            <w:tcW w:type="dxa" w:w="7960"/>
            <w:tcBorders>
              <w:top w:val="single" w:color="B7B7B7" w:sz="1"/>
              <w:left w:val="single" w:color="B7B7B7" w:sz="1"/>
              <w:bottom w:val="single" w:color="B7B7B7" w:sz="1"/>
              <w:right w:val="single" w:color="B7B7B7"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Operating consistently - evidence of consistent operation across the period.</w:t>
            </w:r>
          </w:p>
        </w:tc>
      </w:tr>
      <w:tr>
        <w:tc>
          <w:tcPr>
            <w:tcW w:type="dxa" w:w="140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5</w:t>
            </w:r>
          </w:p>
        </w:tc>
        <w:tc>
          <w:tcPr>
            <w:tcW w:type="dxa" w:w="7960"/>
            <w:tcBorders>
              <w:top w:val="single" w:color="B7B7B7" w:sz="1"/>
              <w:left w:val="single" w:color="B7B7B7" w:sz="1"/>
              <w:bottom w:val="single" w:color="B7B7B7" w:sz="1"/>
              <w:right w:val="single" w:color="B7B7B7" w:sz="1"/>
            </w:tcBorders>
            <w:shd w:fill="F2F2F2" w:val="clear"/>
            <w:tcMar>
              <w:top w:type="dxa" w:w="100"/>
              <w:left w:type="dxa" w:w="140"/>
              <w:bottom w:type="dxa" w:w="100"/>
              <w:right w:type="dxa" w:w="140"/>
            </w:tcMar>
          </w:tcPr>
          <w:p>
            <w:r>
              <w:rPr>
                <w:rFonts w:ascii="Arial" w:cs="Arial" w:eastAsia="Arial" w:hAnsi="Arial"/>
                <w:b w:val="false"/>
                <w:bCs w:val="false"/>
                <w:color w:val="000000"/>
                <w:sz w:val="20"/>
                <w:szCs w:val="20"/>
              </w:rPr>
              <w:t xml:space="preserve">Optimised and monitored - automated where appropriate; monitored continuously.</w:t>
            </w:r>
          </w:p>
        </w:tc>
      </w:tr>
    </w:tbl>
    <w:p>
      <w:pPr>
        <w:pStyle w:val="Heading2"/>
        <w:spacing w:after="160" w:before="240"/>
      </w:pPr>
      <w:r>
        <w:rPr>
          <w:rFonts w:ascii="Arial" w:cs="Arial" w:eastAsia="Arial" w:hAnsi="Arial"/>
          <w:b/>
          <w:bCs/>
          <w:sz w:val="26"/>
          <w:szCs w:val="26"/>
        </w:rPr>
        <w:t xml:space="preserve">5. Design vs operating effectiveness</w:t>
      </w:r>
    </w:p>
    <w:p>
      <w:pPr>
        <w:spacing w:after="120"/>
      </w:pPr>
      <w:r>
        <w:rPr>
          <w:rFonts w:ascii="Arial" w:cs="Arial" w:eastAsia="Arial" w:hAnsi="Arial"/>
        </w:rPr>
        <w:t xml:space="preserve">Design effectiveness asks: if the control operates as designed, will it prevent or detect the relevant risk? Operating effectiveness asks: did the control operate consistently and effectively across the assessment period?</w:t>
      </w:r>
    </w:p>
    <w:p>
      <w:pPr>
        <w:pStyle w:val="ListParagraph"/>
        <w:numPr>
          <w:ilvl w:val="0"/>
          <w:numId w:val="2"/>
        </w:numPr>
        <w:spacing w:after="80"/>
      </w:pPr>
      <w:r>
        <w:rPr>
          <w:rFonts w:ascii="Arial" w:cs="Arial" w:eastAsia="Arial" w:hAnsi="Arial"/>
        </w:rPr>
        <w:t xml:space="preserve">Average &gt;= 4.0  -&gt; Effective.</w:t>
      </w:r>
    </w:p>
    <w:p>
      <w:pPr>
        <w:pStyle w:val="ListParagraph"/>
        <w:numPr>
          <w:ilvl w:val="0"/>
          <w:numId w:val="2"/>
        </w:numPr>
        <w:spacing w:after="80"/>
      </w:pPr>
      <w:r>
        <w:rPr>
          <w:rFonts w:ascii="Arial" w:cs="Arial" w:eastAsia="Arial" w:hAnsi="Arial"/>
        </w:rPr>
        <w:t xml:space="preserve">Average 3.0 - 3.9  -&gt; Partially effective; remediation plan required.</w:t>
      </w:r>
    </w:p>
    <w:p>
      <w:pPr>
        <w:pStyle w:val="ListParagraph"/>
        <w:numPr>
          <w:ilvl w:val="0"/>
          <w:numId w:val="2"/>
        </w:numPr>
        <w:spacing w:after="80"/>
      </w:pPr>
      <w:r>
        <w:rPr>
          <w:rFonts w:ascii="Arial" w:cs="Arial" w:eastAsia="Arial" w:hAnsi="Arial"/>
        </w:rPr>
        <w:t xml:space="preserve">Average &lt; 3.0  -&gt; Ineffective; escalate to audit committee.</w:t>
      </w:r>
    </w:p>
    <w:p>
      <w:pPr>
        <w:pStyle w:val="Heading2"/>
        <w:spacing w:after="160" w:before="240"/>
      </w:pPr>
      <w:r>
        <w:rPr>
          <w:rFonts w:ascii="Arial" w:cs="Arial" w:eastAsia="Arial" w:hAnsi="Arial"/>
          <w:b/>
          <w:bCs/>
          <w:sz w:val="26"/>
          <w:szCs w:val="26"/>
        </w:rPr>
        <w:t xml:space="preserve">6. Evidence to retain</w:t>
      </w:r>
    </w:p>
    <w:p>
      <w:pPr>
        <w:pStyle w:val="ListParagraph"/>
        <w:numPr>
          <w:ilvl w:val="0"/>
          <w:numId w:val="2"/>
        </w:numPr>
        <w:spacing w:after="80"/>
      </w:pPr>
      <w:r>
        <w:rPr>
          <w:rFonts w:ascii="Arial" w:cs="Arial" w:eastAsia="Arial" w:hAnsi="Arial"/>
        </w:rPr>
        <w:t xml:space="preserve">Policies, procedures, charters and delegation matrices.</w:t>
      </w:r>
    </w:p>
    <w:p>
      <w:pPr>
        <w:pStyle w:val="ListParagraph"/>
        <w:numPr>
          <w:ilvl w:val="0"/>
          <w:numId w:val="2"/>
        </w:numPr>
        <w:spacing w:after="80"/>
      </w:pPr>
      <w:r>
        <w:rPr>
          <w:rFonts w:ascii="Arial" w:cs="Arial" w:eastAsia="Arial" w:hAnsi="Arial"/>
        </w:rPr>
        <w:t xml:space="preserve">System screenshots, configuration evidence and access reviews.</w:t>
      </w:r>
    </w:p>
    <w:p>
      <w:pPr>
        <w:pStyle w:val="ListParagraph"/>
        <w:numPr>
          <w:ilvl w:val="0"/>
          <w:numId w:val="2"/>
        </w:numPr>
        <w:spacing w:after="80"/>
      </w:pPr>
      <w:r>
        <w:rPr>
          <w:rFonts w:ascii="Arial" w:cs="Arial" w:eastAsia="Arial" w:hAnsi="Arial"/>
        </w:rPr>
        <w:t xml:space="preserve">Sample testing workpapers (preventive controls: re-performance; detective controls: completeness checks).</w:t>
      </w:r>
    </w:p>
    <w:p>
      <w:pPr>
        <w:pStyle w:val="ListParagraph"/>
        <w:numPr>
          <w:ilvl w:val="0"/>
          <w:numId w:val="2"/>
        </w:numPr>
        <w:spacing w:after="80"/>
      </w:pPr>
      <w:r>
        <w:rPr>
          <w:rFonts w:ascii="Arial" w:cs="Arial" w:eastAsia="Arial" w:hAnsi="Arial"/>
        </w:rPr>
        <w:t xml:space="preserve">Management certifications and sign-offs.</w:t>
      </w:r>
    </w:p>
    <w:p>
      <w:pPr>
        <w:pStyle w:val="ListParagraph"/>
        <w:numPr>
          <w:ilvl w:val="0"/>
          <w:numId w:val="2"/>
        </w:numPr>
        <w:spacing w:after="80"/>
      </w:pPr>
      <w:r>
        <w:rPr>
          <w:rFonts w:ascii="Arial" w:cs="Arial" w:eastAsia="Arial" w:hAnsi="Arial"/>
        </w:rPr>
        <w:t xml:space="preserve">Internal audit reports and management responses.</w:t>
      </w:r>
    </w:p>
    <w:p>
      <w:pPr>
        <w:pStyle w:val="Heading2"/>
        <w:spacing w:after="160" w:before="240"/>
      </w:pPr>
      <w:r>
        <w:rPr>
          <w:rFonts w:ascii="Arial" w:cs="Arial" w:eastAsia="Arial" w:hAnsi="Arial"/>
          <w:b/>
          <w:bCs/>
          <w:sz w:val="26"/>
          <w:szCs w:val="26"/>
        </w:rPr>
        <w:t xml:space="preserve">7. Remediation tracker</w:t>
      </w:r>
    </w:p>
    <w:p>
      <w:pPr>
        <w:spacing w:after="120"/>
      </w:pPr>
      <w:r>
        <w:rPr>
          <w:rFonts w:ascii="Arial" w:cs="Arial" w:eastAsia="Arial" w:hAnsi="Arial"/>
        </w:rPr>
        <w:t xml:space="preserve">Every gap identified must be logged on the Remediation Tracker tab with: action description, owner, due date, priority (High / Medium / Low) and status. The audit committee should receive an extract at every meeting.</w:t>
      </w:r>
    </w:p>
    <w:p>
      <w:pPr>
        <w:pStyle w:val="Heading2"/>
        <w:spacing w:after="160" w:before="240"/>
      </w:pPr>
      <w:r>
        <w:rPr>
          <w:rFonts w:ascii="Arial" w:cs="Arial" w:eastAsia="Arial" w:hAnsi="Arial"/>
          <w:b/>
          <w:bCs/>
          <w:sz w:val="26"/>
          <w:szCs w:val="26"/>
        </w:rPr>
        <w:t xml:space="preserve">8. Management sign-off</w:t>
      </w:r>
    </w:p>
    <w:p>
      <w:pPr>
        <w:spacing w:after="120"/>
      </w:pPr>
      <w:r>
        <w:rPr>
          <w:rFonts w:ascii="Arial" w:cs="Arial" w:eastAsia="Arial" w:hAnsi="Arial"/>
        </w:rPr>
        <w:t xml:space="preserve">On completion, the assessment is signed off by the assessment lead, internal audit reviewer, CFO and CEO. The audit committee chair acknowledges receipt. The Management Sign-Off tab in the workbook captures these confirmations.</w:t>
      </w:r>
    </w:p>
    <w:p>
      <w:pPr>
        <w:pStyle w:val="Heading2"/>
        <w:spacing w:after="160" w:before="240"/>
      </w:pPr>
      <w:r>
        <w:rPr>
          <w:rFonts w:ascii="Arial" w:cs="Arial" w:eastAsia="Arial" w:hAnsi="Arial"/>
          <w:b/>
          <w:bCs/>
          <w:sz w:val="26"/>
          <w:szCs w:val="26"/>
        </w:rPr>
        <w:t xml:space="preserve">9. Cadence</w:t>
      </w:r>
    </w:p>
    <w:p>
      <w:pPr>
        <w:pStyle w:val="ListParagraph"/>
        <w:numPr>
          <w:ilvl w:val="0"/>
          <w:numId w:val="2"/>
        </w:numPr>
        <w:spacing w:after="80"/>
      </w:pPr>
      <w:r>
        <w:rPr>
          <w:rFonts w:ascii="Arial" w:cs="Arial" w:eastAsia="Arial" w:hAnsi="Arial"/>
        </w:rPr>
        <w:t xml:space="preserve">Full self-assessment - at least annually, aligned to year-end.</w:t>
      </w:r>
    </w:p>
    <w:p>
      <w:pPr>
        <w:pStyle w:val="ListParagraph"/>
        <w:numPr>
          <w:ilvl w:val="0"/>
          <w:numId w:val="2"/>
        </w:numPr>
        <w:spacing w:after="80"/>
      </w:pPr>
      <w:r>
        <w:rPr>
          <w:rFonts w:ascii="Arial" w:cs="Arial" w:eastAsia="Arial" w:hAnsi="Arial"/>
        </w:rPr>
        <w:t xml:space="preserve">Quarterly refresh - update scoring where material change occurred (new process, new system, material incident, new regulator expectation).</w:t>
      </w:r>
    </w:p>
    <w:p>
      <w:pPr>
        <w:pStyle w:val="ListParagraph"/>
        <w:numPr>
          <w:ilvl w:val="0"/>
          <w:numId w:val="2"/>
        </w:numPr>
        <w:spacing w:after="80"/>
      </w:pPr>
      <w:r>
        <w:rPr>
          <w:rFonts w:ascii="Arial" w:cs="Arial" w:eastAsia="Arial" w:hAnsi="Arial"/>
        </w:rPr>
        <w:t xml:space="preserve">Continuous control monitoring - in parallel for automated controls.</w:t>
      </w:r>
    </w:p>
    <w:p>
      <w:pPr>
        <w:pStyle w:val="Heading2"/>
        <w:spacing w:after="160" w:before="240"/>
      </w:pPr>
      <w:r>
        <w:rPr>
          <w:rFonts w:ascii="Arial" w:cs="Arial" w:eastAsia="Arial" w:hAnsi="Arial"/>
          <w:b/>
          <w:bCs/>
          <w:sz w:val="26"/>
          <w:szCs w:val="26"/>
        </w:rPr>
        <w:t xml:space="preserve">10. Limitations</w:t>
      </w:r>
    </w:p>
    <w:p>
      <w:pPr>
        <w:spacing w:after="120"/>
      </w:pPr>
      <w:r>
        <w:rPr>
          <w:rFonts w:ascii="Arial" w:cs="Arial" w:eastAsia="Arial" w:hAnsi="Arial"/>
        </w:rPr>
        <w:t xml:space="preserve">This toolkit is practitioner guidance based on the public COSO 2013 framework structure. It supports management self-assessment; it does not replace external audit, regulator examination or any required statutory attestation. Calibrate scoring with internal audit and the audit committee, and seek advice on specific regulatory or assurance obligations applicable to your sector.</w:t>
      </w:r>
    </w:p>
    <w:p>
      <w:pPr>
        <w:pStyle w:val="Heading2"/>
        <w:spacing w:after="160" w:before="240"/>
      </w:pPr>
      <w:r>
        <w:rPr>
          <w:rFonts w:ascii="Arial" w:cs="Arial" w:eastAsia="Arial" w:hAnsi="Arial"/>
          <w:b/>
          <w:bCs/>
          <w:sz w:val="26"/>
          <w:szCs w:val="26"/>
        </w:rPr>
        <w:t xml:space="preserve">11. Related Outliers resources</w:t>
      </w:r>
    </w:p>
    <w:p>
      <w:pPr>
        <w:pStyle w:val="ListParagraph"/>
        <w:numPr>
          <w:ilvl w:val="0"/>
          <w:numId w:val="2"/>
        </w:numPr>
        <w:spacing w:after="80"/>
      </w:pPr>
      <w:r>
        <w:rPr>
          <w:rFonts w:ascii="Arial" w:cs="Arial" w:eastAsia="Arial" w:hAnsi="Arial"/>
        </w:rPr>
        <w:t xml:space="preserve">Internal Control Framework Guide</w:t>
      </w:r>
    </w:p>
    <w:p>
      <w:pPr>
        <w:pStyle w:val="ListParagraph"/>
        <w:numPr>
          <w:ilvl w:val="0"/>
          <w:numId w:val="2"/>
        </w:numPr>
        <w:spacing w:after="80"/>
      </w:pPr>
      <w:r>
        <w:rPr>
          <w:rFonts w:ascii="Arial" w:cs="Arial" w:eastAsia="Arial" w:hAnsi="Arial"/>
        </w:rPr>
        <w:t xml:space="preserve">Control Self-Assessment Workbook</w:t>
      </w:r>
    </w:p>
    <w:p>
      <w:pPr>
        <w:pStyle w:val="ListParagraph"/>
        <w:numPr>
          <w:ilvl w:val="0"/>
          <w:numId w:val="2"/>
        </w:numPr>
        <w:spacing w:after="80"/>
      </w:pPr>
      <w:r>
        <w:rPr>
          <w:rFonts w:ascii="Arial" w:cs="Arial" w:eastAsia="Arial" w:hAnsi="Arial"/>
        </w:rPr>
        <w:t xml:space="preserve">Audit Committee Internal Control Pack</w:t>
      </w:r>
    </w:p>
    <w:p>
      <w:pPr>
        <w:pStyle w:val="ListParagraph"/>
        <w:numPr>
          <w:ilvl w:val="0"/>
          <w:numId w:val="2"/>
        </w:numPr>
        <w:spacing w:after="80"/>
      </w:pPr>
      <w:r>
        <w:rPr>
          <w:rFonts w:ascii="Arial" w:cs="Arial" w:eastAsia="Arial" w:hAnsi="Arial"/>
        </w:rPr>
        <w:t xml:space="preserve">Internal Control Improvement Plan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6"/>
        <w:szCs w:val="16"/>
      </w:rPr>
      <w:t xml:space="preserve">Outliers Professionals  |  Page </w:t>
    </w:r>
    <w:r>
      <w:rPr>
        <w:rFonts w:ascii="Arial" w:cs="Arial" w:eastAsia="Arial" w:hAnsi="Arial"/>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color w:val="595959"/>
        <w:sz w:val="18"/>
        <w:szCs w:val="18"/>
      </w:rPr>
      <w:t xml:space="preserve">COSO Self-Assessment Toolkit  |  Outliers Internal Control Centre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40"/>
      <w:outlineLvl w:val="1"/>
    </w:pPr>
    <w:rPr>
      <w:rFonts w:ascii="Arial" w:cs="Arial" w:eastAsia="Arial" w:hAnsi="Arial"/>
      <w:b/>
      <w:bCs/>
      <w:color w:val="2E75B6"/>
      <w:sz w:val="26"/>
      <w:szCs w:val="26"/>
    </w:rPr>
  </w:style>
  <w:style w:type="paragraph" w:styleId="Heading3">
    <w:name w:val="Heading 3"/>
    <w:basedOn w:val="Normal"/>
    <w:next w:val="Normal"/>
    <w:qFormat/>
    <w:pPr>
      <w:spacing w:after="100" w:before="180"/>
      <w:outlineLvl w:val="2"/>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2026-06-29T01:34:59.635Z</dcterms:created>
  <dcterms:modified xsi:type="dcterms:W3CDTF">2026-06-29T01:34:59.635Z</dcterms:modified>
</cp:coreProperties>
</file>

<file path=docProps/custom.xml><?xml version="1.0" encoding="utf-8"?>
<Properties xmlns="http://schemas.openxmlformats.org/officeDocument/2006/custom-properties" xmlns:vt="http://schemas.openxmlformats.org/officeDocument/2006/docPropsVTypes"/>
</file>