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Treasury Internal Audit Pack</w:t>
      </w:r>
    </w:p>
    <w:p>
      <w:r>
        <w:rPr>
          <w:rFonts w:ascii="Arial" w:hAnsi="Arial"/>
          <w:b/>
          <w:sz w:val="22"/>
        </w:rPr>
        <w:t>Toolkit · Treasury Controls · Enterprise tier</w:t>
      </w:r>
    </w:p>
    <w:p>
      <w:r>
        <w:rPr>
          <w:rFonts w:ascii="Arial" w:hAnsi="Arial"/>
          <w:sz w:val="22"/>
        </w:rPr>
        <w:t>Internal audit pack covering treasury controls testing.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Risk-based audit programme with test scripts, evidence requirements and reporting templates.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Internal Audit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toolkit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Read the executive summary and identify the workstreams that apply to your group.</w:t>
      </w:r>
    </w:p>
    <w:p>
      <w:pPr>
        <w:pStyle w:val="ListNumber"/>
      </w:pPr>
      <w:r>
        <w:rPr>
          <w:rFonts w:ascii="Arial" w:hAnsi="Arial"/>
          <w:sz w:val="22"/>
        </w:rPr>
        <w:t>Localise assumptions, currencies, regulatory references and naming conventions.</w:t>
      </w:r>
    </w:p>
    <w:p>
      <w:pPr>
        <w:pStyle w:val="ListNumber"/>
      </w:pPr>
      <w:r>
        <w:rPr>
          <w:rFonts w:ascii="Arial" w:hAnsi="Arial"/>
          <w:sz w:val="22"/>
        </w:rPr>
        <w:t>Populate the working sections with current data and source-document references.</w:t>
      </w:r>
    </w:p>
    <w:p>
      <w:pPr>
        <w:pStyle w:val="ListNumber"/>
      </w:pPr>
      <w:r>
        <w:rPr>
          <w:rFonts w:ascii="Arial" w:hAnsi="Arial"/>
          <w:sz w:val="22"/>
        </w:rPr>
        <w:t>Run an internal challenge session before the first formal review.</w:t>
      </w:r>
    </w:p>
    <w:p>
      <w:pPr>
        <w:pStyle w:val="ListNumber"/>
      </w:pPr>
      <w:r>
        <w:rPr>
          <w:rFonts w:ascii="Arial" w:hAnsi="Arial"/>
          <w:sz w:val="22"/>
        </w:rPr>
        <w:t>Present at the relevant committee (Treasury, ALCO, ExCo or Board).</w:t>
      </w:r>
    </w:p>
    <w:p>
      <w:pPr>
        <w:pStyle w:val="ListNumber"/>
      </w:pPr>
      <w:r>
        <w:rPr>
          <w:rFonts w:ascii="Arial" w:hAnsi="Arial"/>
          <w:sz w:val="22"/>
        </w:rPr>
        <w:t>Capture decisions and actions; refresh on the agreed cadence.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Control Point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Owner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Frequency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Design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Operating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Last Test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Vendor master change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Treasury Ops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Per event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Q2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Dual approval &gt; NGN 50m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System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Per payment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Q2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Sanctions screening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Compliance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Per payment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Needs work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Q2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Mandate refresh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Treasury Ops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Annual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Q1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Audit</w:t>
      </w:r>
    </w:p>
    <w:p>
      <w:pPr>
        <w:pStyle w:val="ListBullet"/>
      </w:pPr>
      <w:r>
        <w:rPr>
          <w:rFonts w:ascii="Arial" w:hAnsi="Arial"/>
          <w:sz w:val="22"/>
        </w:rPr>
        <w:t>Controls testing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