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Quarterly Governance Report</w:t>
      </w:r>
    </w:p>
    <w:p>
      <w:pPr>
        <w:jc w:val="center"/>
      </w:pPr>
      <w:r>
        <w:rPr>
          <w:color w:val="C97B2C"/>
          <w:sz w:val="26"/>
        </w:rPr>
        <w:t>Board / Governance Committee quarterly report</w:t>
      </w:r>
    </w:p>
    <w:p/>
    <w:p/>
    <w:p>
      <w:pPr>
        <w:jc w:val="center"/>
      </w:pPr>
      <w:r>
        <w:rPr>
          <w:color w:val="555555"/>
          <w:sz w:val="20"/>
        </w:rPr>
        <w:t>Company Secretary / Board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Quarterly Governance Report — [Quarter / Year]</w:t>
      </w:r>
    </w:p>
    <w:p>
      <w:r>
        <w:rPr>
          <w:b w:val="0"/>
          <w:i/>
          <w:sz w:val="19"/>
        </w:rPr>
        <w:t>Prepared by: [Company Secretary]  ·  Date: [date]  ·  Classification: Board Confidential</w:t>
      </w:r>
    </w:p>
    <w:p>
      <w:pPr>
        <w:pStyle w:val="Heading2"/>
      </w:pPr>
      <w:r>
        <w:t>1. Executive Summary</w:t>
      </w:r>
    </w:p>
    <w:p>
      <w:r>
        <w:rPr>
          <w:b w:val="0"/>
          <w:i w:val="0"/>
          <w:sz w:val="20"/>
        </w:rPr>
        <w:t>[Overall governance RAG and key messages. Example:] Governance is sound and largely code-aligned. Code compliance at 98% with gaps being closed. Board effectiveness strong; ethics attestation and whistleblowing resolution to improve. No material regulatory findings this quarter.</w:t>
      </w:r>
    </w:p>
    <w:p>
      <w:pPr>
        <w:pStyle w:val="Heading2"/>
      </w:pPr>
      <w:r>
        <w:t>2. Governance Scorecard</w:t>
      </w:r>
    </w:p>
    <w:tbl>
      <w:tblPr>
        <w:tblStyle w:val="TableGrid"/>
        <w:tblW w:type="auto" w:w="0"/>
        <w:jc w:val="center"/>
        <w:tblLook w:firstColumn="1" w:firstRow="1" w:lastColumn="0" w:lastRow="0" w:noHBand="0" w:noVBand="1" w:val="04A0"/>
      </w:tblPr>
      <w:tblGrid>
        <w:gridCol w:w="3264"/>
        <w:gridCol w:w="3264"/>
        <w:gridCol w:w="3264"/>
      </w:tblGrid>
      <w:tr>
        <w:tc>
          <w:tcPr>
            <w:tcW w:type="dxa" w:w="3168"/>
            <w:shd w:val="clear" w:fill="1B4D89"/>
          </w:tcPr>
          <w:p>
            <w:r/>
            <w:r>
              <w:rPr>
                <w:rFonts w:ascii="Arial" w:hAnsi="Arial"/>
                <w:b/>
                <w:color w:val="FFFFFF"/>
                <w:sz w:val="16"/>
              </w:rPr>
              <w:t>Area</w:t>
            </w:r>
          </w:p>
        </w:tc>
        <w:tc>
          <w:tcPr>
            <w:tcW w:type="dxa" w:w="1440"/>
            <w:shd w:val="clear" w:fill="1B4D89"/>
          </w:tcPr>
          <w:p>
            <w:r/>
            <w:r>
              <w:rPr>
                <w:rFonts w:ascii="Arial" w:hAnsi="Arial"/>
                <w:b/>
                <w:color w:val="FFFFFF"/>
                <w:sz w:val="16"/>
              </w:rPr>
              <w:t>Status</w:t>
            </w:r>
          </w:p>
        </w:tc>
        <w:tc>
          <w:tcPr>
            <w:tcW w:type="dxa" w:w="6912"/>
            <w:shd w:val="clear" w:fill="1B4D89"/>
          </w:tcPr>
          <w:p>
            <w:r/>
            <w:r>
              <w:rPr>
                <w:rFonts w:ascii="Arial" w:hAnsi="Arial"/>
                <w:b/>
                <w:color w:val="FFFFFF"/>
                <w:sz w:val="16"/>
              </w:rPr>
              <w:t>Commentary</w:t>
            </w:r>
          </w:p>
        </w:tc>
      </w:tr>
      <w:tr>
        <w:tc>
          <w:tcPr>
            <w:tcW w:type="dxa" w:w="3168"/>
          </w:tcPr>
          <w:p>
            <w:r/>
            <w:r>
              <w:rPr>
                <w:rFonts w:ascii="Arial" w:hAnsi="Arial"/>
                <w:b w:val="0"/>
                <w:sz w:val="16"/>
              </w:rPr>
              <w:t>Code compliance (NCCG 2018)</w:t>
            </w:r>
          </w:p>
        </w:tc>
        <w:tc>
          <w:tcPr>
            <w:tcW w:type="dxa" w:w="1440"/>
            <w:shd w:val="clear" w:fill="E08A2B"/>
          </w:tcPr>
          <w:p>
            <w:pPr>
              <w:jc w:val="center"/>
            </w:pPr>
            <w:r/>
            <w:r>
              <w:rPr>
                <w:rFonts w:ascii="Arial" w:hAnsi="Arial"/>
                <w:b/>
                <w:color w:val="FFFFFF"/>
                <w:sz w:val="16"/>
              </w:rPr>
              <w:t>Amber</w:t>
            </w:r>
          </w:p>
        </w:tc>
        <w:tc>
          <w:tcPr>
            <w:tcW w:type="dxa" w:w="6912"/>
          </w:tcPr>
          <w:p>
            <w:r/>
            <w:r>
              <w:rPr>
                <w:rFonts w:ascii="Arial" w:hAnsi="Arial"/>
                <w:b w:val="0"/>
                <w:sz w:val="16"/>
              </w:rPr>
              <w:t>98% applied/explained; closing gaps</w:t>
            </w:r>
          </w:p>
        </w:tc>
      </w:tr>
      <w:tr>
        <w:tc>
          <w:tcPr>
            <w:tcW w:type="dxa" w:w="3168"/>
            <w:shd w:val="clear" w:fill="F4F7FB"/>
          </w:tcPr>
          <w:p>
            <w:r/>
            <w:r>
              <w:rPr>
                <w:rFonts w:ascii="Arial" w:hAnsi="Arial"/>
                <w:b w:val="0"/>
                <w:sz w:val="16"/>
              </w:rPr>
              <w:t>Board effectiveness</w:t>
            </w:r>
          </w:p>
        </w:tc>
        <w:tc>
          <w:tcPr>
            <w:tcW w:type="dxa" w:w="1440"/>
            <w:shd w:val="clear" w:fill="F4F7FB"/>
            <w:shd w:val="clear" w:fill="2E7D5B"/>
          </w:tcPr>
          <w:p>
            <w:pPr>
              <w:jc w:val="center"/>
            </w:pPr>
            <w:r/>
            <w:r>
              <w:rPr>
                <w:rFonts w:ascii="Arial" w:hAnsi="Arial"/>
                <w:b/>
                <w:color w:val="FFFFFF"/>
                <w:sz w:val="16"/>
              </w:rPr>
              <w:t>Green</w:t>
            </w:r>
          </w:p>
        </w:tc>
        <w:tc>
          <w:tcPr>
            <w:tcW w:type="dxa" w:w="6912"/>
            <w:shd w:val="clear" w:fill="F4F7FB"/>
          </w:tcPr>
          <w:p>
            <w:r/>
            <w:r>
              <w:rPr>
                <w:rFonts w:ascii="Arial" w:hAnsi="Arial"/>
                <w:b w:val="0"/>
                <w:sz w:val="16"/>
              </w:rPr>
              <w:t>Strong attendance and engagement</w:t>
            </w:r>
          </w:p>
        </w:tc>
      </w:tr>
      <w:tr>
        <w:tc>
          <w:tcPr>
            <w:tcW w:type="dxa" w:w="3168"/>
          </w:tcPr>
          <w:p>
            <w:r/>
            <w:r>
              <w:rPr>
                <w:rFonts w:ascii="Arial" w:hAnsi="Arial"/>
                <w:b w:val="0"/>
                <w:sz w:val="16"/>
              </w:rPr>
              <w:t>Ethics &amp; integrity</w:t>
            </w:r>
          </w:p>
        </w:tc>
        <w:tc>
          <w:tcPr>
            <w:tcW w:type="dxa" w:w="1440"/>
            <w:shd w:val="clear" w:fill="E08A2B"/>
          </w:tcPr>
          <w:p>
            <w:pPr>
              <w:jc w:val="center"/>
            </w:pPr>
            <w:r/>
            <w:r>
              <w:rPr>
                <w:rFonts w:ascii="Arial" w:hAnsi="Arial"/>
                <w:b/>
                <w:color w:val="FFFFFF"/>
                <w:sz w:val="16"/>
              </w:rPr>
              <w:t>Amber</w:t>
            </w:r>
          </w:p>
        </w:tc>
        <w:tc>
          <w:tcPr>
            <w:tcW w:type="dxa" w:w="6912"/>
          </w:tcPr>
          <w:p>
            <w:r/>
            <w:r>
              <w:rPr>
                <w:rFonts w:ascii="Arial" w:hAnsi="Arial"/>
                <w:b w:val="0"/>
                <w:sz w:val="16"/>
              </w:rPr>
              <w:t>Attestation drive underway</w:t>
            </w:r>
          </w:p>
        </w:tc>
      </w:tr>
      <w:tr>
        <w:tc>
          <w:tcPr>
            <w:tcW w:type="dxa" w:w="3168"/>
            <w:shd w:val="clear" w:fill="F4F7FB"/>
          </w:tcPr>
          <w:p>
            <w:r/>
            <w:r>
              <w:rPr>
                <w:rFonts w:ascii="Arial" w:hAnsi="Arial"/>
                <w:b w:val="0"/>
                <w:sz w:val="16"/>
              </w:rPr>
              <w:t>Governance risk</w:t>
            </w:r>
          </w:p>
        </w:tc>
        <w:tc>
          <w:tcPr>
            <w:tcW w:type="dxa" w:w="1440"/>
            <w:shd w:val="clear" w:fill="F4F7FB"/>
            <w:shd w:val="clear" w:fill="E08A2B"/>
          </w:tcPr>
          <w:p>
            <w:pPr>
              <w:jc w:val="center"/>
            </w:pPr>
            <w:r/>
            <w:r>
              <w:rPr>
                <w:rFonts w:ascii="Arial" w:hAnsi="Arial"/>
                <w:b/>
                <w:color w:val="FFFFFF"/>
                <w:sz w:val="16"/>
              </w:rPr>
              <w:t>Amber</w:t>
            </w:r>
          </w:p>
        </w:tc>
        <w:tc>
          <w:tcPr>
            <w:tcW w:type="dxa" w:w="6912"/>
            <w:shd w:val="clear" w:fill="F4F7FB"/>
          </w:tcPr>
          <w:p>
            <w:r/>
            <w:r>
              <w:rPr>
                <w:rFonts w:ascii="Arial" w:hAnsi="Arial"/>
                <w:b w:val="0"/>
                <w:sz w:val="16"/>
              </w:rPr>
              <w:t>High risks under mitigation</w:t>
            </w:r>
          </w:p>
        </w:tc>
      </w:tr>
      <w:tr>
        <w:tc>
          <w:tcPr>
            <w:tcW w:type="dxa" w:w="3168"/>
          </w:tcPr>
          <w:p>
            <w:r/>
            <w:r>
              <w:rPr>
                <w:rFonts w:ascii="Arial" w:hAnsi="Arial"/>
                <w:b w:val="0"/>
                <w:sz w:val="16"/>
              </w:rPr>
              <w:t>Disclosure</w:t>
            </w:r>
          </w:p>
        </w:tc>
        <w:tc>
          <w:tcPr>
            <w:tcW w:type="dxa" w:w="1440"/>
            <w:shd w:val="clear" w:fill="2E7D5B"/>
          </w:tcPr>
          <w:p>
            <w:pPr>
              <w:jc w:val="center"/>
            </w:pPr>
            <w:r/>
            <w:r>
              <w:rPr>
                <w:rFonts w:ascii="Arial" w:hAnsi="Arial"/>
                <w:b/>
                <w:color w:val="FFFFFF"/>
                <w:sz w:val="16"/>
              </w:rPr>
              <w:t>Green</w:t>
            </w:r>
          </w:p>
        </w:tc>
        <w:tc>
          <w:tcPr>
            <w:tcW w:type="dxa" w:w="6912"/>
          </w:tcPr>
          <w:p>
            <w:r/>
            <w:r>
              <w:rPr>
                <w:rFonts w:ascii="Arial" w:hAnsi="Arial"/>
                <w:b w:val="0"/>
                <w:sz w:val="16"/>
              </w:rPr>
              <w:t>Complete and timely</w:t>
            </w:r>
          </w:p>
        </w:tc>
      </w:tr>
    </w:tbl>
    <w:p>
      <w:pPr>
        <w:pStyle w:val="Heading2"/>
      </w:pPr>
      <w:r>
        <w:t>3. Board &amp; Committee Activity</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168"/>
            <w:shd w:val="clear" w:fill="1B4D89"/>
          </w:tcPr>
          <w:p>
            <w:r/>
            <w:r>
              <w:rPr>
                <w:rFonts w:ascii="Arial" w:hAnsi="Arial"/>
                <w:b/>
                <w:color w:val="FFFFFF"/>
                <w:sz w:val="16"/>
              </w:rPr>
              <w:t>Body</w:t>
            </w:r>
          </w:p>
        </w:tc>
        <w:tc>
          <w:tcPr>
            <w:tcW w:type="dxa" w:w="1872"/>
            <w:shd w:val="clear" w:fill="1B4D89"/>
          </w:tcPr>
          <w:p>
            <w:r/>
            <w:r>
              <w:rPr>
                <w:rFonts w:ascii="Arial" w:hAnsi="Arial"/>
                <w:b/>
                <w:color w:val="FFFFFF"/>
                <w:sz w:val="16"/>
              </w:rPr>
              <w:t>Meetings held</w:t>
            </w:r>
          </w:p>
        </w:tc>
        <w:tc>
          <w:tcPr>
            <w:tcW w:type="dxa" w:w="1728"/>
            <w:shd w:val="clear" w:fill="1B4D89"/>
          </w:tcPr>
          <w:p>
            <w:r/>
            <w:r>
              <w:rPr>
                <w:rFonts w:ascii="Arial" w:hAnsi="Arial"/>
                <w:b/>
                <w:color w:val="FFFFFF"/>
                <w:sz w:val="16"/>
              </w:rPr>
              <w:t>Attendance</w:t>
            </w:r>
          </w:p>
        </w:tc>
        <w:tc>
          <w:tcPr>
            <w:tcW w:type="dxa" w:w="4752"/>
            <w:shd w:val="clear" w:fill="1B4D89"/>
          </w:tcPr>
          <w:p>
            <w:r/>
            <w:r>
              <w:rPr>
                <w:rFonts w:ascii="Arial" w:hAnsi="Arial"/>
                <w:b/>
                <w:color w:val="FFFFFF"/>
                <w:sz w:val="16"/>
              </w:rPr>
              <w:t>Key matters</w:t>
            </w:r>
          </w:p>
        </w:tc>
      </w:tr>
      <w:tr>
        <w:tc>
          <w:tcPr>
            <w:tcW w:type="dxa" w:w="3168"/>
          </w:tcPr>
          <w:p>
            <w:r/>
            <w:r>
              <w:rPr>
                <w:rFonts w:ascii="Arial" w:hAnsi="Arial"/>
                <w:b w:val="0"/>
                <w:sz w:val="16"/>
              </w:rPr>
              <w:t>Board</w:t>
            </w:r>
          </w:p>
        </w:tc>
        <w:tc>
          <w:tcPr>
            <w:tcW w:type="dxa" w:w="1872"/>
          </w:tcPr>
          <w:p>
            <w:r/>
            <w:r>
              <w:rPr>
                <w:rFonts w:ascii="Arial" w:hAnsi="Arial"/>
                <w:b w:val="0"/>
                <w:sz w:val="16"/>
              </w:rPr>
              <w:t>[n]</w:t>
            </w:r>
          </w:p>
        </w:tc>
        <w:tc>
          <w:tcPr>
            <w:tcW w:type="dxa" w:w="1728"/>
          </w:tcPr>
          <w:p>
            <w:r/>
            <w:r>
              <w:rPr>
                <w:rFonts w:ascii="Arial" w:hAnsi="Arial"/>
                <w:b w:val="0"/>
                <w:sz w:val="16"/>
              </w:rPr>
              <w:t>90%</w:t>
            </w:r>
          </w:p>
        </w:tc>
        <w:tc>
          <w:tcPr>
            <w:tcW w:type="dxa" w:w="4752"/>
          </w:tcPr>
          <w:p>
            <w:r/>
            <w:r>
              <w:rPr>
                <w:rFonts w:ascii="Arial" w:hAnsi="Arial"/>
                <w:b w:val="0"/>
                <w:sz w:val="16"/>
              </w:rPr>
              <w:t>[matters]</w:t>
            </w:r>
          </w:p>
        </w:tc>
      </w:tr>
      <w:tr>
        <w:tc>
          <w:tcPr>
            <w:tcW w:type="dxa" w:w="3168"/>
            <w:shd w:val="clear" w:fill="F4F7FB"/>
          </w:tcPr>
          <w:p>
            <w:r/>
            <w:r>
              <w:rPr>
                <w:rFonts w:ascii="Arial" w:hAnsi="Arial"/>
                <w:b w:val="0"/>
                <w:sz w:val="16"/>
              </w:rPr>
              <w:t>Audit Committee</w:t>
            </w:r>
          </w:p>
        </w:tc>
        <w:tc>
          <w:tcPr>
            <w:tcW w:type="dxa" w:w="1872"/>
            <w:shd w:val="clear" w:fill="F4F7FB"/>
          </w:tcPr>
          <w:p>
            <w:r/>
            <w:r>
              <w:rPr>
                <w:rFonts w:ascii="Arial" w:hAnsi="Arial"/>
                <w:b w:val="0"/>
                <w:sz w:val="16"/>
              </w:rPr>
              <w:t>[n]</w:t>
            </w:r>
          </w:p>
        </w:tc>
        <w:tc>
          <w:tcPr>
            <w:tcW w:type="dxa" w:w="1728"/>
            <w:shd w:val="clear" w:fill="F4F7FB"/>
          </w:tcPr>
          <w:p>
            <w:r/>
            <w:r>
              <w:rPr>
                <w:rFonts w:ascii="Arial" w:hAnsi="Arial"/>
                <w:b w:val="0"/>
                <w:sz w:val="16"/>
              </w:rPr>
              <w:t>[ ]</w:t>
            </w:r>
          </w:p>
        </w:tc>
        <w:tc>
          <w:tcPr>
            <w:tcW w:type="dxa" w:w="4752"/>
            <w:shd w:val="clear" w:fill="F4F7FB"/>
          </w:tcPr>
          <w:p>
            <w:r/>
            <w:r>
              <w:rPr>
                <w:rFonts w:ascii="Arial" w:hAnsi="Arial"/>
                <w:b w:val="0"/>
                <w:sz w:val="16"/>
              </w:rPr>
              <w:t>[matters]</w:t>
            </w:r>
          </w:p>
        </w:tc>
      </w:tr>
      <w:tr>
        <w:tc>
          <w:tcPr>
            <w:tcW w:type="dxa" w:w="3168"/>
          </w:tcPr>
          <w:p>
            <w:r/>
            <w:r>
              <w:rPr>
                <w:rFonts w:ascii="Arial" w:hAnsi="Arial"/>
                <w:b w:val="0"/>
                <w:sz w:val="16"/>
              </w:rPr>
              <w:t>Risk Committee</w:t>
            </w:r>
          </w:p>
        </w:tc>
        <w:tc>
          <w:tcPr>
            <w:tcW w:type="dxa" w:w="1872"/>
          </w:tcPr>
          <w:p>
            <w:r/>
            <w:r>
              <w:rPr>
                <w:rFonts w:ascii="Arial" w:hAnsi="Arial"/>
                <w:b w:val="0"/>
                <w:sz w:val="16"/>
              </w:rPr>
              <w:t>[n]</w:t>
            </w:r>
          </w:p>
        </w:tc>
        <w:tc>
          <w:tcPr>
            <w:tcW w:type="dxa" w:w="1728"/>
          </w:tcPr>
          <w:p>
            <w:r/>
            <w:r>
              <w:rPr>
                <w:rFonts w:ascii="Arial" w:hAnsi="Arial"/>
                <w:b w:val="0"/>
                <w:sz w:val="16"/>
              </w:rPr>
              <w:t>[ ]</w:t>
            </w:r>
          </w:p>
        </w:tc>
        <w:tc>
          <w:tcPr>
            <w:tcW w:type="dxa" w:w="4752"/>
          </w:tcPr>
          <w:p>
            <w:r/>
            <w:r>
              <w:rPr>
                <w:rFonts w:ascii="Arial" w:hAnsi="Arial"/>
                <w:b w:val="0"/>
                <w:sz w:val="16"/>
              </w:rPr>
              <w:t>[matters]</w:t>
            </w:r>
          </w:p>
        </w:tc>
      </w:tr>
      <w:tr>
        <w:tc>
          <w:tcPr>
            <w:tcW w:type="dxa" w:w="3168"/>
            <w:shd w:val="clear" w:fill="F4F7FB"/>
          </w:tcPr>
          <w:p>
            <w:r/>
            <w:r>
              <w:rPr>
                <w:rFonts w:ascii="Arial" w:hAnsi="Arial"/>
                <w:b w:val="0"/>
                <w:sz w:val="16"/>
              </w:rPr>
              <w:t>Governance/Nomination</w:t>
            </w:r>
          </w:p>
        </w:tc>
        <w:tc>
          <w:tcPr>
            <w:tcW w:type="dxa" w:w="1872"/>
            <w:shd w:val="clear" w:fill="F4F7FB"/>
          </w:tcPr>
          <w:p>
            <w:r/>
            <w:r>
              <w:rPr>
                <w:rFonts w:ascii="Arial" w:hAnsi="Arial"/>
                <w:b w:val="0"/>
                <w:sz w:val="16"/>
              </w:rPr>
              <w:t>[n]</w:t>
            </w:r>
          </w:p>
        </w:tc>
        <w:tc>
          <w:tcPr>
            <w:tcW w:type="dxa" w:w="1728"/>
            <w:shd w:val="clear" w:fill="F4F7FB"/>
          </w:tcPr>
          <w:p>
            <w:r/>
            <w:r>
              <w:rPr>
                <w:rFonts w:ascii="Arial" w:hAnsi="Arial"/>
                <w:b w:val="0"/>
                <w:sz w:val="16"/>
              </w:rPr>
              <w:t>[ ]</w:t>
            </w:r>
          </w:p>
        </w:tc>
        <w:tc>
          <w:tcPr>
            <w:tcW w:type="dxa" w:w="4752"/>
            <w:shd w:val="clear" w:fill="F4F7FB"/>
          </w:tcPr>
          <w:p>
            <w:r/>
            <w:r>
              <w:rPr>
                <w:rFonts w:ascii="Arial" w:hAnsi="Arial"/>
                <w:b w:val="0"/>
                <w:sz w:val="16"/>
              </w:rPr>
              <w:t>[matters]</w:t>
            </w:r>
          </w:p>
        </w:tc>
      </w:tr>
    </w:tbl>
    <w:p>
      <w:pPr>
        <w:pStyle w:val="Heading2"/>
      </w:pPr>
      <w:r>
        <w:t>4. Compliance &amp; Disclosure</w:t>
      </w:r>
    </w:p>
    <w:p>
      <w:r>
        <w:rPr>
          <w:b w:val="0"/>
          <w:i w:val="0"/>
          <w:sz w:val="19"/>
        </w:rPr>
        <w:t>[Summary of code compliance position (apply-and-explain), regulatory filings and any findings. Reference NCCG 2018 and applicable regulator without restating provisions.]</w:t>
      </w:r>
    </w:p>
    <w:p>
      <w:pPr>
        <w:pStyle w:val="Heading2"/>
      </w:pPr>
      <w:r>
        <w:t>5. Ethics, Conflicts &amp; Related Parties</w:t>
      </w:r>
    </w:p>
    <w:tbl>
      <w:tblPr>
        <w:tblStyle w:val="TableGrid"/>
        <w:tblW w:type="auto" w:w="0"/>
        <w:jc w:val="center"/>
        <w:tblLook w:firstColumn="1" w:firstRow="1" w:lastColumn="0" w:lastRow="0" w:noHBand="0" w:noVBand="1" w:val="04A0"/>
      </w:tblPr>
      <w:tblGrid>
        <w:gridCol w:w="3264"/>
        <w:gridCol w:w="3264"/>
        <w:gridCol w:w="3264"/>
      </w:tblGrid>
      <w:tr>
        <w:tc>
          <w:tcPr>
            <w:tcW w:type="dxa" w:w="3168"/>
            <w:shd w:val="clear" w:fill="1B4D89"/>
          </w:tcPr>
          <w:p>
            <w:r/>
            <w:r>
              <w:rPr>
                <w:rFonts w:ascii="Arial" w:hAnsi="Arial"/>
                <w:b/>
                <w:color w:val="FFFFFF"/>
                <w:sz w:val="16"/>
              </w:rPr>
              <w:t>Item</w:t>
            </w:r>
          </w:p>
        </w:tc>
        <w:tc>
          <w:tcPr>
            <w:tcW w:type="dxa" w:w="1728"/>
            <w:shd w:val="clear" w:fill="1B4D89"/>
          </w:tcPr>
          <w:p>
            <w:r/>
            <w:r>
              <w:rPr>
                <w:rFonts w:ascii="Arial" w:hAnsi="Arial"/>
                <w:b/>
                <w:color w:val="FFFFFF"/>
                <w:sz w:val="16"/>
              </w:rPr>
              <w:t>Status</w:t>
            </w:r>
          </w:p>
        </w:tc>
        <w:tc>
          <w:tcPr>
            <w:tcW w:type="dxa" w:w="6624"/>
            <w:shd w:val="clear" w:fill="1B4D89"/>
          </w:tcPr>
          <w:p>
            <w:r/>
            <w:r>
              <w:rPr>
                <w:rFonts w:ascii="Arial" w:hAnsi="Arial"/>
                <w:b/>
                <w:color w:val="FFFFFF"/>
                <w:sz w:val="16"/>
              </w:rPr>
              <w:t>Note</w:t>
            </w:r>
          </w:p>
        </w:tc>
      </w:tr>
      <w:tr>
        <w:tc>
          <w:tcPr>
            <w:tcW w:type="dxa" w:w="3168"/>
          </w:tcPr>
          <w:p>
            <w:r/>
            <w:r>
              <w:rPr>
                <w:rFonts w:ascii="Arial" w:hAnsi="Arial"/>
                <w:b w:val="0"/>
                <w:sz w:val="16"/>
              </w:rPr>
              <w:t>Conflicts declared</w:t>
            </w:r>
          </w:p>
        </w:tc>
        <w:tc>
          <w:tcPr>
            <w:tcW w:type="dxa" w:w="1728"/>
          </w:tcPr>
          <w:p>
            <w:r/>
            <w:r>
              <w:rPr>
                <w:rFonts w:ascii="Arial" w:hAnsi="Arial"/>
                <w:b w:val="0"/>
                <w:sz w:val="16"/>
              </w:rPr>
              <w:t>100%</w:t>
            </w:r>
          </w:p>
        </w:tc>
        <w:tc>
          <w:tcPr>
            <w:tcW w:type="dxa" w:w="6624"/>
          </w:tcPr>
          <w:p>
            <w:r/>
            <w:r>
              <w:rPr>
                <w:rFonts w:ascii="Arial" w:hAnsi="Arial"/>
                <w:b w:val="0"/>
                <w:sz w:val="16"/>
              </w:rPr>
              <w:t>Register current</w:t>
            </w:r>
          </w:p>
        </w:tc>
      </w:tr>
      <w:tr>
        <w:tc>
          <w:tcPr>
            <w:tcW w:type="dxa" w:w="3168"/>
            <w:shd w:val="clear" w:fill="F4F7FB"/>
          </w:tcPr>
          <w:p>
            <w:r/>
            <w:r>
              <w:rPr>
                <w:rFonts w:ascii="Arial" w:hAnsi="Arial"/>
                <w:b w:val="0"/>
                <w:sz w:val="16"/>
              </w:rPr>
              <w:t>Related-party transactions</w:t>
            </w:r>
          </w:p>
        </w:tc>
        <w:tc>
          <w:tcPr>
            <w:tcW w:type="dxa" w:w="1728"/>
            <w:shd w:val="clear" w:fill="F4F7FB"/>
          </w:tcPr>
          <w:p>
            <w:r/>
            <w:r>
              <w:rPr>
                <w:rFonts w:ascii="Arial" w:hAnsi="Arial"/>
                <w:b w:val="0"/>
                <w:sz w:val="16"/>
              </w:rPr>
              <w:t>[n]</w:t>
            </w:r>
          </w:p>
        </w:tc>
        <w:tc>
          <w:tcPr>
            <w:tcW w:type="dxa" w:w="6624"/>
            <w:shd w:val="clear" w:fill="F4F7FB"/>
          </w:tcPr>
          <w:p>
            <w:r/>
            <w:r>
              <w:rPr>
                <w:rFonts w:ascii="Arial" w:hAnsi="Arial"/>
                <w:b w:val="0"/>
                <w:sz w:val="16"/>
              </w:rPr>
              <w:t>Approved &amp; disclosed</w:t>
            </w:r>
          </w:p>
        </w:tc>
      </w:tr>
      <w:tr>
        <w:tc>
          <w:tcPr>
            <w:tcW w:type="dxa" w:w="3168"/>
          </w:tcPr>
          <w:p>
            <w:r/>
            <w:r>
              <w:rPr>
                <w:rFonts w:ascii="Arial" w:hAnsi="Arial"/>
                <w:b w:val="0"/>
                <w:sz w:val="16"/>
              </w:rPr>
              <w:t>Whistleblowing cases</w:t>
            </w:r>
          </w:p>
        </w:tc>
        <w:tc>
          <w:tcPr>
            <w:tcW w:type="dxa" w:w="1728"/>
          </w:tcPr>
          <w:p>
            <w:r/>
            <w:r>
              <w:rPr>
                <w:rFonts w:ascii="Arial" w:hAnsi="Arial"/>
                <w:b w:val="0"/>
                <w:sz w:val="16"/>
              </w:rPr>
              <w:t>[n]</w:t>
            </w:r>
          </w:p>
        </w:tc>
        <w:tc>
          <w:tcPr>
            <w:tcW w:type="dxa" w:w="6624"/>
          </w:tcPr>
          <w:p>
            <w:r/>
            <w:r>
              <w:rPr>
                <w:rFonts w:ascii="Arial" w:hAnsi="Arial"/>
                <w:b w:val="0"/>
                <w:sz w:val="16"/>
              </w:rPr>
              <w:t>[resolution status]</w:t>
            </w:r>
          </w:p>
        </w:tc>
      </w:tr>
    </w:tbl>
    <w:p>
      <w:pPr>
        <w:pStyle w:val="Heading2"/>
      </w:pPr>
      <w:r>
        <w:t>6. Governance Risks &amp; Actions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320"/>
            <w:shd w:val="clear" w:fill="1B4D89"/>
          </w:tcPr>
          <w:p>
            <w:r/>
            <w:r>
              <w:rPr>
                <w:rFonts w:ascii="Arial" w:hAnsi="Arial"/>
                <w:b/>
                <w:color w:val="FFFFFF"/>
                <w:sz w:val="16"/>
              </w:rPr>
              <w:t>Risk / Action</w:t>
            </w:r>
          </w:p>
        </w:tc>
        <w:tc>
          <w:tcPr>
            <w:tcW w:type="dxa" w:w="1440"/>
            <w:shd w:val="clear" w:fill="1B4D89"/>
          </w:tcPr>
          <w:p>
            <w:r/>
            <w:r>
              <w:rPr>
                <w:rFonts w:ascii="Arial" w:hAnsi="Arial"/>
                <w:b/>
                <w:color w:val="FFFFFF"/>
                <w:sz w:val="16"/>
              </w:rPr>
              <w:t>Rating</w:t>
            </w:r>
          </w:p>
        </w:tc>
        <w:tc>
          <w:tcPr>
            <w:tcW w:type="dxa" w:w="2160"/>
            <w:shd w:val="clear" w:fill="1B4D89"/>
          </w:tcPr>
          <w:p>
            <w:r/>
            <w:r>
              <w:rPr>
                <w:rFonts w:ascii="Arial" w:hAnsi="Arial"/>
                <w:b/>
                <w:color w:val="FFFFFF"/>
                <w:sz w:val="16"/>
              </w:rPr>
              <w:t>Owner</w:t>
            </w:r>
          </w:p>
        </w:tc>
        <w:tc>
          <w:tcPr>
            <w:tcW w:type="dxa" w:w="3600"/>
            <w:shd w:val="clear" w:fill="1B4D89"/>
          </w:tcPr>
          <w:p>
            <w:r/>
            <w:r>
              <w:rPr>
                <w:rFonts w:ascii="Arial" w:hAnsi="Arial"/>
                <w:b/>
                <w:color w:val="FFFFFF"/>
                <w:sz w:val="16"/>
              </w:rPr>
              <w:t>Status</w:t>
            </w:r>
          </w:p>
        </w:tc>
      </w:tr>
      <w:tr>
        <w:tc>
          <w:tcPr>
            <w:tcW w:type="dxa" w:w="4320"/>
          </w:tcPr>
          <w:p>
            <w:r/>
            <w:r>
              <w:rPr>
                <w:rFonts w:ascii="Arial" w:hAnsi="Arial"/>
                <w:b w:val="0"/>
                <w:sz w:val="16"/>
              </w:rPr>
              <w:t>[risk/action 1]</w:t>
            </w:r>
          </w:p>
        </w:tc>
        <w:tc>
          <w:tcPr>
            <w:tcW w:type="dxa" w:w="1440"/>
            <w:shd w:val="clear" w:fill="B23A48"/>
          </w:tcPr>
          <w:p>
            <w:pPr>
              <w:jc w:val="center"/>
            </w:pPr>
            <w:r/>
            <w:r>
              <w:rPr>
                <w:rFonts w:ascii="Arial" w:hAnsi="Arial"/>
                <w:b/>
                <w:color w:val="FFFFFF"/>
                <w:sz w:val="16"/>
              </w:rPr>
              <w:t>High</w:t>
            </w:r>
          </w:p>
        </w:tc>
        <w:tc>
          <w:tcPr>
            <w:tcW w:type="dxa" w:w="2160"/>
          </w:tcPr>
          <w:p>
            <w:r/>
            <w:r>
              <w:rPr>
                <w:rFonts w:ascii="Arial" w:hAnsi="Arial"/>
                <w:b w:val="0"/>
                <w:sz w:val="16"/>
              </w:rPr>
              <w:t>[owner]</w:t>
            </w:r>
          </w:p>
        </w:tc>
        <w:tc>
          <w:tcPr>
            <w:tcW w:type="dxa" w:w="3600"/>
          </w:tcPr>
          <w:p>
            <w:r/>
            <w:r>
              <w:rPr>
                <w:rFonts w:ascii="Arial" w:hAnsi="Arial"/>
                <w:b w:val="0"/>
                <w:sz w:val="16"/>
              </w:rPr>
              <w:t>[status]</w:t>
            </w:r>
          </w:p>
        </w:tc>
      </w:tr>
      <w:tr>
        <w:tc>
          <w:tcPr>
            <w:tcW w:type="dxa" w:w="4320"/>
            <w:shd w:val="clear" w:fill="F4F7FB"/>
          </w:tcPr>
          <w:p>
            <w:r/>
            <w:r>
              <w:rPr>
                <w:rFonts w:ascii="Arial" w:hAnsi="Arial"/>
                <w:b w:val="0"/>
                <w:sz w:val="16"/>
              </w:rPr>
              <w:t>[risk/action 2]</w:t>
            </w:r>
          </w:p>
        </w:tc>
        <w:tc>
          <w:tcPr>
            <w:tcW w:type="dxa" w:w="1440"/>
            <w:shd w:val="clear" w:fill="F4F7FB"/>
            <w:shd w:val="clear" w:fill="D4B106"/>
          </w:tcPr>
          <w:p>
            <w:pPr>
              <w:jc w:val="center"/>
            </w:pPr>
            <w:r/>
            <w:r>
              <w:rPr>
                <w:rFonts w:ascii="Arial" w:hAnsi="Arial"/>
                <w:b/>
                <w:color w:val="FFFFFF"/>
                <w:sz w:val="16"/>
              </w:rPr>
              <w:t>Medium</w:t>
            </w:r>
          </w:p>
        </w:tc>
        <w:tc>
          <w:tcPr>
            <w:tcW w:type="dxa" w:w="2160"/>
            <w:shd w:val="clear" w:fill="F4F7FB"/>
          </w:tcPr>
          <w:p>
            <w:r/>
            <w:r>
              <w:rPr>
                <w:rFonts w:ascii="Arial" w:hAnsi="Arial"/>
                <w:b w:val="0"/>
                <w:sz w:val="16"/>
              </w:rPr>
              <w:t>[owner]</w:t>
            </w:r>
          </w:p>
        </w:tc>
        <w:tc>
          <w:tcPr>
            <w:tcW w:type="dxa" w:w="3600"/>
            <w:shd w:val="clear" w:fill="F4F7FB"/>
          </w:tcPr>
          <w:p>
            <w:r/>
            <w:r>
              <w:rPr>
                <w:rFonts w:ascii="Arial" w:hAnsi="Arial"/>
                <w:b w:val="0"/>
                <w:sz w:val="16"/>
              </w:rPr>
              <w:t>[status]</w:t>
            </w:r>
          </w:p>
        </w:tc>
      </w:tr>
    </w:tbl>
    <w:p>
      <w:pPr>
        <w:pStyle w:val="Heading2"/>
      </w:pPr>
      <w:r>
        <w:t>7. Decisions / Matters for the Board</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