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ESG Data &amp; Assurance Toolkit™</w:t>
      </w:r>
    </w:p>
    <w:p>
      <w:pPr>
        <w:jc w:val="center"/>
      </w:pPr>
      <w:r>
        <w:rPr>
          <w:color w:val="C97B2C"/>
          <w:sz w:val="26"/>
        </w:rPr>
        <w:t>Build reliable ESG data and get assurance-ready</w:t>
      </w:r>
    </w:p>
    <w:p/>
    <w:p/>
    <w:p>
      <w:pPr>
        <w:jc w:val="center"/>
      </w:pPr>
      <w:r>
        <w:rPr>
          <w:color w:val="555555"/>
          <w:sz w:val="20"/>
        </w:rPr>
        <w:t>CSO / IT / Finance  ·  Flagship Edition 2026</w:t>
      </w:r>
    </w:p>
    <w:p>
      <w:pPr>
        <w:jc w:val="center"/>
      </w:pPr>
      <w:r>
        <w:rPr>
          <w:i/>
          <w:color w:val="555555"/>
          <w:sz w:val="18"/>
        </w:rPr>
        <w:t>Outliers Professionals Ltd — ESG &amp; Sustainability Centre Resource Library</w:t>
      </w:r>
    </w:p>
    <w:p>
      <w:r>
        <w:br w:type="page"/>
      </w:r>
    </w:p>
    <w:p>
      <w:pPr>
        <w:pStyle w:val="Heading1"/>
      </w:pPr>
      <w:r>
        <w:t>1. Executive Overview</w:t>
      </w:r>
    </w:p>
    <w:p>
      <w:r>
        <w:rPr>
          <w:b w:val="0"/>
          <w:i w:val="0"/>
          <w:sz w:val="20"/>
        </w:rPr>
        <w:t>This toolkit helps you build reliable ESG data and reach assurance readiness — data model, collection, controls, systems and assurance.</w:t>
      </w:r>
    </w:p>
    <w:p>
      <w:r>
        <w:rPr>
          <w:b w:val="0"/>
          <w:i w:val="0"/>
          <w:sz w:val="19"/>
        </w:rPr>
        <w:t>This toolkit is part of the Outliers ESG &amp; Sustainability Centre™ and is anchored to GRI, ISSB, TCFD and the GHG Protocol (by name). It gives boards, sustainability teams and assurance providers an applied, end-to-end kit to set, deliver, measure and disclose ESG performance in this domain.</w:t>
      </w:r>
    </w:p>
    <w:p>
      <w:pPr>
        <w:pStyle w:val="Heading1"/>
      </w:pPr>
      <w:r>
        <w:t>2. Objectives</w:t>
      </w:r>
    </w:p>
    <w:p>
      <w:r>
        <w:rPr>
          <w:b w:val="0"/>
          <w:i w:val="0"/>
          <w:sz w:val="20"/>
        </w:rPr>
        <w:t>The outcomes this toolkit helps you achieve:</w:t>
      </w:r>
    </w:p>
    <w:p>
      <w:pPr>
        <w:pStyle w:val="ListBullet"/>
      </w:pPr>
      <w:r>
        <w:rPr>
          <w:sz w:val="19"/>
        </w:rPr>
        <w:t>Define the ESG data model</w:t>
      </w:r>
    </w:p>
    <w:p>
      <w:pPr>
        <w:pStyle w:val="ListBullet"/>
      </w:pPr>
      <w:r>
        <w:rPr>
          <w:sz w:val="19"/>
        </w:rPr>
        <w:t>Collect ESG data systematically</w:t>
      </w:r>
    </w:p>
    <w:p>
      <w:pPr>
        <w:pStyle w:val="ListBullet"/>
      </w:pPr>
      <w:r>
        <w:rPr>
          <w:sz w:val="19"/>
        </w:rPr>
        <w:t>Apply controls over ESG data</w:t>
      </w:r>
    </w:p>
    <w:p>
      <w:pPr>
        <w:pStyle w:val="ListBullet"/>
      </w:pPr>
      <w:r>
        <w:rPr>
          <w:sz w:val="19"/>
        </w:rPr>
        <w:t>Use systems to support reporting</w:t>
      </w:r>
    </w:p>
    <w:p>
      <w:pPr>
        <w:pStyle w:val="ListBullet"/>
      </w:pPr>
      <w:r>
        <w:rPr>
          <w:sz w:val="19"/>
        </w:rPr>
        <w:t>Reach assurance readiness</w:t>
      </w:r>
    </w:p>
    <w:p>
      <w:pPr>
        <w:pStyle w:val="Heading1"/>
      </w:pPr>
      <w:r>
        <w:t>3. Governance</w:t>
      </w:r>
    </w:p>
    <w:p>
      <w:r>
        <w:rPr>
          <w:b w:val="0"/>
          <w:i w:val="0"/>
          <w:sz w:val="20"/>
        </w:rPr>
        <w:t>ESG data and assurance are owned by the CSO with IT and finance, and assessed by internal audit: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ESG Committee</w:t>
            </w:r>
          </w:p>
        </w:tc>
        <w:tc>
          <w:tcPr>
            <w:tcW w:type="dxa" w:w="8208"/>
          </w:tcPr>
          <w:p>
            <w:r/>
            <w:r>
              <w:rPr>
                <w:rFonts w:ascii="Arial" w:hAnsi="Arial"/>
                <w:b w:val="0"/>
                <w:sz w:val="16"/>
              </w:rPr>
              <w:t>Oversees ESG strategy, risk and disclosure</w:t>
            </w:r>
          </w:p>
        </w:tc>
      </w:tr>
      <w:tr>
        <w:tc>
          <w:tcPr>
            <w:tcW w:type="dxa" w:w="3312"/>
            <w:shd w:val="clear" w:fill="F4F7FB"/>
          </w:tcPr>
          <w:p>
            <w:r/>
            <w:r>
              <w:rPr>
                <w:rFonts w:ascii="Arial" w:hAnsi="Arial"/>
                <w:b w:val="0"/>
                <w:sz w:val="16"/>
              </w:rPr>
              <w:t>Executive / CSO</w:t>
            </w:r>
          </w:p>
        </w:tc>
        <w:tc>
          <w:tcPr>
            <w:tcW w:type="dxa" w:w="8208"/>
            <w:shd w:val="clear" w:fill="F4F7FB"/>
          </w:tcPr>
          <w:p>
            <w:r/>
            <w:r>
              <w:rPr>
                <w:rFonts w:ascii="Arial" w:hAnsi="Arial"/>
                <w:b w:val="0"/>
                <w:sz w:val="16"/>
              </w:rPr>
              <w:t>Owns ESG and the operating model</w:t>
            </w:r>
          </w:p>
        </w:tc>
      </w:tr>
      <w:tr>
        <w:tc>
          <w:tcPr>
            <w:tcW w:type="dxa" w:w="3312"/>
          </w:tcPr>
          <w:p>
            <w:r/>
            <w:r>
              <w:rPr>
                <w:rFonts w:ascii="Arial" w:hAnsi="Arial"/>
                <w:b w:val="0"/>
                <w:sz w:val="16"/>
              </w:rPr>
              <w:t>Sustainability function</w:t>
            </w:r>
          </w:p>
        </w:tc>
        <w:tc>
          <w:tcPr>
            <w:tcW w:type="dxa" w:w="8208"/>
          </w:tcPr>
          <w:p>
            <w:r/>
            <w:r>
              <w:rPr>
                <w:rFonts w:ascii="Arial" w:hAnsi="Arial"/>
                <w:b w:val="0"/>
                <w:sz w:val="16"/>
              </w:rPr>
              <w:t>Runs ESG programmes and reporting</w:t>
            </w:r>
          </w:p>
        </w:tc>
      </w:tr>
      <w:tr>
        <w:tc>
          <w:tcPr>
            <w:tcW w:type="dxa" w:w="3312"/>
            <w:shd w:val="clear" w:fill="F4F7FB"/>
          </w:tcPr>
          <w:p>
            <w:r/>
            <w:r>
              <w:rPr>
                <w:rFonts w:ascii="Arial" w:hAnsi="Arial"/>
                <w:b w:val="0"/>
                <w:sz w:val="16"/>
              </w:rPr>
              <w:t>Business &amp; functions</w:t>
            </w:r>
          </w:p>
        </w:tc>
        <w:tc>
          <w:tcPr>
            <w:tcW w:type="dxa" w:w="8208"/>
            <w:shd w:val="clear" w:fill="F4F7FB"/>
          </w:tcPr>
          <w:p>
            <w:r/>
            <w:r>
              <w:rPr>
                <w:rFonts w:ascii="Arial" w:hAnsi="Arial"/>
                <w:b w:val="0"/>
                <w:sz w:val="16"/>
              </w:rPr>
              <w:t>Deliver ESG in operations</w:t>
            </w:r>
          </w:p>
        </w:tc>
      </w:tr>
      <w:tr>
        <w:tc>
          <w:tcPr>
            <w:tcW w:type="dxa" w:w="3312"/>
          </w:tcPr>
          <w:p>
            <w:r/>
            <w:r>
              <w:rPr>
                <w:rFonts w:ascii="Arial" w:hAnsi="Arial"/>
                <w:b w:val="0"/>
                <w:sz w:val="16"/>
              </w:rPr>
              <w:t>Assurance / internal audit</w:t>
            </w:r>
          </w:p>
        </w:tc>
        <w:tc>
          <w:tcPr>
            <w:tcW w:type="dxa" w:w="8208"/>
          </w:tcPr>
          <w:p>
            <w:r/>
            <w:r>
              <w:rPr>
                <w:rFonts w:ascii="Arial" w:hAnsi="Arial"/>
                <w:b w:val="0"/>
                <w:sz w:val="16"/>
              </w:rPr>
              <w:t>Provides assurance over ESG</w:t>
            </w:r>
          </w:p>
        </w:tc>
      </w:tr>
    </w:tbl>
    <w:p>
      <w:pPr>
        <w:pStyle w:val="Heading1"/>
      </w:pPr>
      <w:r>
        <w:t>4. Control / Management Framework</w:t>
      </w:r>
    </w:p>
    <w:p>
      <w:r>
        <w:rPr>
          <w:b w:val="0"/>
          <w:i w:val="0"/>
          <w:sz w:val="20"/>
        </w:rPr>
        <w:t>The framework builds reliable ESG data and assurance readiness — data model, collection, controls, systems and assurance — drawing on recognised assurance standards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unstandardised</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assured</w:t>
            </w:r>
          </w:p>
        </w:tc>
        <w:tc>
          <w:tcPr>
            <w:tcW w:type="dxa" w:w="2232"/>
          </w:tcPr>
          <w:p>
            <w:r/>
            <w:r>
              <w:rPr>
                <w:rFonts w:ascii="Arial" w:hAnsi="Arial"/>
                <w:b w:val="0"/>
                <w:sz w:val="16"/>
              </w:rPr>
              <w:t>Strategic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CSO / Sustainability</w:t>
            </w:r>
          </w:p>
        </w:tc>
        <w:tc>
          <w:tcPr>
            <w:tcW w:type="dxa" w:w="8064"/>
          </w:tcPr>
          <w:p>
            <w:r/>
            <w:r>
              <w:rPr>
                <w:rFonts w:ascii="Arial" w:hAnsi="Arial"/>
                <w:b w:val="0"/>
                <w:sz w:val="17"/>
              </w:rPr>
              <w:t>Own ESG data</w:t>
            </w:r>
          </w:p>
        </w:tc>
      </w:tr>
      <w:tr>
        <w:tc>
          <w:tcPr>
            <w:tcW w:type="dxa" w:w="3456"/>
            <w:shd w:val="clear" w:fill="F4F7FB"/>
          </w:tcPr>
          <w:p>
            <w:r/>
            <w:r>
              <w:rPr>
                <w:rFonts w:ascii="Arial" w:hAnsi="Arial"/>
                <w:b w:val="0"/>
                <w:sz w:val="17"/>
              </w:rPr>
              <w:t>IT / Data</w:t>
            </w:r>
          </w:p>
        </w:tc>
        <w:tc>
          <w:tcPr>
            <w:tcW w:type="dxa" w:w="8064"/>
            <w:shd w:val="clear" w:fill="F4F7FB"/>
          </w:tcPr>
          <w:p>
            <w:r/>
            <w:r>
              <w:rPr>
                <w:rFonts w:ascii="Arial" w:hAnsi="Arial"/>
                <w:b w:val="0"/>
                <w:sz w:val="17"/>
              </w:rPr>
              <w:t>Build ESG systems and controls</w:t>
            </w:r>
          </w:p>
        </w:tc>
      </w:tr>
      <w:tr>
        <w:tc>
          <w:tcPr>
            <w:tcW w:type="dxa" w:w="3456"/>
          </w:tcPr>
          <w:p>
            <w:r/>
            <w:r>
              <w:rPr>
                <w:rFonts w:ascii="Arial" w:hAnsi="Arial"/>
                <w:b w:val="0"/>
                <w:sz w:val="17"/>
              </w:rPr>
              <w:t>Finance</w:t>
            </w:r>
          </w:p>
        </w:tc>
        <w:tc>
          <w:tcPr>
            <w:tcW w:type="dxa" w:w="8064"/>
          </w:tcPr>
          <w:p>
            <w:r/>
            <w:r>
              <w:rPr>
                <w:rFonts w:ascii="Arial" w:hAnsi="Arial"/>
                <w:b w:val="0"/>
                <w:sz w:val="17"/>
              </w:rPr>
              <w:t>Apply data controls</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Assess readiness</w:t>
            </w:r>
          </w:p>
        </w:tc>
      </w:tr>
      <w:tr>
        <w:tc>
          <w:tcPr>
            <w:tcW w:type="dxa" w:w="3456"/>
          </w:tcPr>
          <w:p>
            <w:r/>
            <w:r>
              <w:rPr>
                <w:rFonts w:ascii="Arial" w:hAnsi="Arial"/>
                <w:b w:val="0"/>
                <w:sz w:val="17"/>
              </w:rPr>
              <w:t>Assurance provider</w:t>
            </w:r>
          </w:p>
        </w:tc>
        <w:tc>
          <w:tcPr>
            <w:tcW w:type="dxa" w:w="8064"/>
          </w:tcPr>
          <w:p>
            <w:r/>
            <w:r>
              <w:rPr>
                <w:rFonts w:ascii="Arial" w:hAnsi="Arial"/>
                <w:b w:val="0"/>
                <w:sz w:val="17"/>
              </w:rPr>
              <w:t>Provide assurance (where engaged)</w:t>
            </w:r>
          </w:p>
        </w:tc>
      </w:tr>
    </w:tbl>
    <w:p>
      <w:pPr>
        <w:pStyle w:val="Heading1"/>
      </w:pPr>
      <w:r>
        <w:t>6. Risk-Control / Topic Matrix (sample)</w:t>
      </w:r>
    </w:p>
    <w:p>
      <w:r>
        <w:rPr>
          <w:b w:val="0"/>
          <w:i/>
          <w:sz w:val="19"/>
        </w:rPr>
        <w:t>Illustrative matrix of ESG topics/risks and the management responses. Full working versions ship as editable XLSX with owners, scores, targets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Topic / Risk</w:t>
            </w:r>
          </w:p>
        </w:tc>
        <w:tc>
          <w:tcPr>
            <w:tcW w:type="dxa" w:w="3744"/>
            <w:shd w:val="clear" w:fill="1B4D89"/>
          </w:tcPr>
          <w:p>
            <w:r/>
            <w:r>
              <w:rPr>
                <w:rFonts w:ascii="Arial" w:hAnsi="Arial"/>
                <w:b/>
                <w:color w:val="FFFFFF"/>
                <w:sz w:val="16"/>
              </w:rPr>
              <w:t>Management Response</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D-01</w:t>
            </w:r>
          </w:p>
        </w:tc>
        <w:tc>
          <w:tcPr>
            <w:tcW w:type="dxa" w:w="2880"/>
          </w:tcPr>
          <w:p>
            <w:r/>
            <w:r>
              <w:rPr>
                <w:rFonts w:ascii="Arial" w:hAnsi="Arial"/>
                <w:b w:val="0"/>
                <w:sz w:val="16"/>
              </w:rPr>
              <w:t>Data model</w:t>
            </w:r>
          </w:p>
        </w:tc>
        <w:tc>
          <w:tcPr>
            <w:tcW w:type="dxa" w:w="3744"/>
          </w:tcPr>
          <w:p>
            <w:r/>
            <w:r>
              <w:rPr>
                <w:rFonts w:ascii="Arial" w:hAnsi="Arial"/>
                <w:b w:val="0"/>
                <w:sz w:val="16"/>
              </w:rPr>
              <w:t>Define metrics, owners and lineage</w:t>
            </w:r>
          </w:p>
        </w:tc>
        <w:tc>
          <w:tcPr>
            <w:tcW w:type="dxa" w:w="1728"/>
          </w:tcPr>
          <w:p>
            <w:r/>
            <w:r>
              <w:rPr>
                <w:rFonts w:ascii="Arial" w:hAnsi="Arial"/>
                <w:b w:val="0"/>
                <w:sz w:val="16"/>
              </w:rPr>
              <w:t>Sustainability</w:t>
            </w:r>
          </w:p>
        </w:tc>
        <w:tc>
          <w:tcPr>
            <w:tcW w:type="dxa" w:w="1296"/>
          </w:tcPr>
          <w:p>
            <w:r/>
            <w:r>
              <w:rPr>
                <w:rFonts w:ascii="Arial" w:hAnsi="Arial"/>
                <w:b w:val="0"/>
                <w:sz w:val="16"/>
              </w:rPr>
              <w:t>Annually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D-02</w:t>
            </w:r>
          </w:p>
        </w:tc>
        <w:tc>
          <w:tcPr>
            <w:tcW w:type="dxa" w:w="2880"/>
            <w:shd w:val="clear" w:fill="F4F7FB"/>
          </w:tcPr>
          <w:p>
            <w:r/>
            <w:r>
              <w:rPr>
                <w:rFonts w:ascii="Arial" w:hAnsi="Arial"/>
                <w:b w:val="0"/>
                <w:sz w:val="16"/>
              </w:rPr>
              <w:t>Collection</w:t>
            </w:r>
          </w:p>
        </w:tc>
        <w:tc>
          <w:tcPr>
            <w:tcW w:type="dxa" w:w="3744"/>
            <w:shd w:val="clear" w:fill="F4F7FB"/>
          </w:tcPr>
          <w:p>
            <w:r/>
            <w:r>
              <w:rPr>
                <w:rFonts w:ascii="Arial" w:hAnsi="Arial"/>
                <w:b w:val="0"/>
                <w:sz w:val="16"/>
              </w:rPr>
              <w:t>Systematic data collection</w:t>
            </w:r>
          </w:p>
        </w:tc>
        <w:tc>
          <w:tcPr>
            <w:tcW w:type="dxa" w:w="1728"/>
            <w:shd w:val="clear" w:fill="F4F7FB"/>
          </w:tcPr>
          <w:p>
            <w:r/>
            <w:r>
              <w:rPr>
                <w:rFonts w:ascii="Arial" w:hAnsi="Arial"/>
                <w:b w:val="0"/>
                <w:sz w:val="16"/>
              </w:rPr>
              <w:t>Sustainability</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D-03</w:t>
            </w:r>
          </w:p>
        </w:tc>
        <w:tc>
          <w:tcPr>
            <w:tcW w:type="dxa" w:w="2880"/>
          </w:tcPr>
          <w:p>
            <w:r/>
            <w:r>
              <w:rPr>
                <w:rFonts w:ascii="Arial" w:hAnsi="Arial"/>
                <w:b w:val="0"/>
                <w:sz w:val="16"/>
              </w:rPr>
              <w:t>Controls</w:t>
            </w:r>
          </w:p>
        </w:tc>
        <w:tc>
          <w:tcPr>
            <w:tcW w:type="dxa" w:w="3744"/>
          </w:tcPr>
          <w:p>
            <w:r/>
            <w:r>
              <w:rPr>
                <w:rFonts w:ascii="Arial" w:hAnsi="Arial"/>
                <w:b w:val="0"/>
                <w:sz w:val="16"/>
              </w:rPr>
              <w:t>Review and validation controls</w:t>
            </w:r>
          </w:p>
        </w:tc>
        <w:tc>
          <w:tcPr>
            <w:tcW w:type="dxa" w:w="1728"/>
          </w:tcPr>
          <w:p>
            <w:r/>
            <w:r>
              <w:rPr>
                <w:rFonts w:ascii="Arial" w:hAnsi="Arial"/>
                <w:b w:val="0"/>
                <w:sz w:val="16"/>
              </w:rPr>
              <w:t>Finance</w:t>
            </w:r>
          </w:p>
        </w:tc>
        <w:tc>
          <w:tcPr>
            <w:tcW w:type="dxa" w:w="1296"/>
          </w:tcPr>
          <w:p>
            <w:r/>
            <w:r>
              <w:rPr>
                <w:rFonts w:ascii="Arial" w:hAnsi="Arial"/>
                <w:b w:val="0"/>
                <w:sz w:val="16"/>
              </w:rPr>
              <w:t>Quarterly</w:t>
            </w:r>
          </w:p>
        </w:tc>
        <w:tc>
          <w:tcPr>
            <w:tcW w:type="dxa" w:w="1296"/>
          </w:tcPr>
          <w:p>
            <w:r/>
            <w:r>
              <w:rPr>
                <w:rFonts w:ascii="Arial" w:hAnsi="Arial"/>
                <w:b w:val="0"/>
                <w:sz w:val="16"/>
              </w:rPr>
              <w:t>Detective</w:t>
            </w:r>
          </w:p>
        </w:tc>
      </w:tr>
      <w:tr>
        <w:tc>
          <w:tcPr>
            <w:tcW w:type="dxa" w:w="864"/>
            <w:shd w:val="clear" w:fill="F4F7FB"/>
          </w:tcPr>
          <w:p>
            <w:r/>
            <w:r>
              <w:rPr>
                <w:rFonts w:ascii="Arial" w:hAnsi="Arial"/>
                <w:b w:val="0"/>
                <w:sz w:val="16"/>
              </w:rPr>
              <w:t>D-04</w:t>
            </w:r>
          </w:p>
        </w:tc>
        <w:tc>
          <w:tcPr>
            <w:tcW w:type="dxa" w:w="2880"/>
            <w:shd w:val="clear" w:fill="F4F7FB"/>
          </w:tcPr>
          <w:p>
            <w:r/>
            <w:r>
              <w:rPr>
                <w:rFonts w:ascii="Arial" w:hAnsi="Arial"/>
                <w:b w:val="0"/>
                <w:sz w:val="16"/>
              </w:rPr>
              <w:t>Assurance</w:t>
            </w:r>
          </w:p>
        </w:tc>
        <w:tc>
          <w:tcPr>
            <w:tcW w:type="dxa" w:w="3744"/>
            <w:shd w:val="clear" w:fill="F4F7FB"/>
          </w:tcPr>
          <w:p>
            <w:r/>
            <w:r>
              <w:rPr>
                <w:rFonts w:ascii="Arial" w:hAnsi="Arial"/>
                <w:b w:val="0"/>
                <w:sz w:val="16"/>
              </w:rPr>
              <w:t>Assurance readiness review</w:t>
            </w:r>
          </w:p>
        </w:tc>
        <w:tc>
          <w:tcPr>
            <w:tcW w:type="dxa" w:w="1728"/>
            <w:shd w:val="clear" w:fill="F4F7FB"/>
          </w:tcPr>
          <w:p>
            <w:r/>
            <w:r>
              <w:rPr>
                <w:rFonts w:ascii="Arial" w:hAnsi="Arial"/>
                <w:b w:val="0"/>
                <w:sz w:val="16"/>
              </w:rPr>
              <w:t>Internal Audit</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Detective</w:t>
            </w:r>
          </w:p>
        </w:tc>
      </w:tr>
    </w:tbl>
    <w:p>
      <w:pPr>
        <w:pStyle w:val="Heading1"/>
      </w:pPr>
      <w:r>
        <w:t>7. Sample Controls / Actions</w:t>
      </w:r>
    </w:p>
    <w:p>
      <w:pPr>
        <w:pStyle w:val="ListBullet"/>
      </w:pPr>
      <w:r>
        <w:rPr>
          <w:sz w:val="19"/>
        </w:rPr>
        <w:t>ESG data model defined</w:t>
      </w:r>
    </w:p>
    <w:p>
      <w:pPr>
        <w:pStyle w:val="ListBullet"/>
      </w:pPr>
      <w:r>
        <w:rPr>
          <w:sz w:val="19"/>
        </w:rPr>
        <w:t>Data collected systematically</w:t>
      </w:r>
    </w:p>
    <w:p>
      <w:pPr>
        <w:pStyle w:val="ListBullet"/>
      </w:pPr>
      <w:r>
        <w:rPr>
          <w:sz w:val="19"/>
        </w:rPr>
        <w:t>Data controls operating</w:t>
      </w:r>
    </w:p>
    <w:p>
      <w:pPr>
        <w:pStyle w:val="ListBullet"/>
      </w:pPr>
      <w:r>
        <w:rPr>
          <w:sz w:val="19"/>
        </w:rPr>
        <w:t>ESG systems supporting reporting</w:t>
      </w:r>
    </w:p>
    <w:p>
      <w:pPr>
        <w:pStyle w:val="ListBullet"/>
      </w:pPr>
      <w:r>
        <w:rPr>
          <w:sz w:val="19"/>
        </w:rPr>
        <w:t>Assurance readiness achieved</w:t>
      </w:r>
    </w:p>
    <w:p>
      <w:pPr>
        <w:pStyle w:val="Heading1"/>
      </w:pPr>
      <w:r>
        <w:t>8. Measurement &amp; Testing Approach</w:t>
      </w:r>
    </w:p>
    <w:p>
      <w:r>
        <w:rPr>
          <w:b w:val="0"/>
          <w:i w:val="0"/>
          <w:sz w:val="20"/>
        </w:rPr>
        <w:t>Measure performance against targets and test the reliability of ESG data and controls. Use the assessment scale: Effective / Partially effective / Ineffective for controls, and verified/estimated/unverified for data.</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Procedure</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Data controls</w:t>
            </w:r>
          </w:p>
        </w:tc>
        <w:tc>
          <w:tcPr>
            <w:tcW w:type="dxa" w:w="4320"/>
          </w:tcPr>
          <w:p>
            <w:r/>
            <w:r>
              <w:rPr>
                <w:rFonts w:ascii="Arial" w:hAnsi="Arial"/>
                <w:b w:val="0"/>
                <w:sz w:val="16"/>
              </w:rPr>
              <w:t>Test controls over key ESG metrics</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Methodology</w:t>
            </w:r>
          </w:p>
        </w:tc>
        <w:tc>
          <w:tcPr>
            <w:tcW w:type="dxa" w:w="4320"/>
            <w:shd w:val="clear" w:fill="F4F7FB"/>
          </w:tcPr>
          <w:p>
            <w:r/>
            <w:r>
              <w:rPr>
                <w:rFonts w:ascii="Arial" w:hAnsi="Arial"/>
                <w:b w:val="0"/>
                <w:sz w:val="16"/>
              </w:rPr>
              <w:t>Review methodologies and assumptions</w:t>
            </w:r>
          </w:p>
        </w:tc>
        <w:tc>
          <w:tcPr>
            <w:tcW w:type="dxa" w:w="2160"/>
            <w:shd w:val="clear" w:fill="F4F7FB"/>
          </w:tcPr>
          <w:p>
            <w:r/>
            <w:r>
              <w:rPr>
                <w:rFonts w:ascii="Arial" w:hAnsi="Arial"/>
                <w:b w:val="0"/>
                <w:sz w:val="16"/>
              </w:rPr>
              <w:t>Full</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Evidence</w:t>
            </w:r>
          </w:p>
        </w:tc>
        <w:tc>
          <w:tcPr>
            <w:tcW w:type="dxa" w:w="4320"/>
          </w:tcPr>
          <w:p>
            <w:r/>
            <w:r>
              <w:rPr>
                <w:rFonts w:ascii="Arial" w:hAnsi="Arial"/>
                <w:b w:val="0"/>
                <w:sz w:val="16"/>
              </w:rPr>
              <w:t>Retrieve evidence for a sample of metrics</w:t>
            </w:r>
          </w:p>
        </w:tc>
        <w:tc>
          <w:tcPr>
            <w:tcW w:type="dxa" w:w="2160"/>
          </w:tcPr>
          <w:p>
            <w:r/>
            <w:r>
              <w:rPr>
                <w:rFonts w:ascii="Arial" w:hAnsi="Arial"/>
                <w:b w:val="0"/>
                <w:sz w:val="16"/>
              </w:rPr>
              <w:t>Sample</w:t>
            </w:r>
          </w:p>
        </w:tc>
        <w:tc>
          <w:tcPr>
            <w:tcW w:type="dxa" w:w="1440"/>
          </w:tcPr>
          <w:p>
            <w:r/>
            <w:r>
              <w:rPr>
                <w:rFonts w:ascii="Arial" w:hAnsi="Arial"/>
                <w:b w:val="0"/>
                <w:sz w:val="16"/>
              </w:rPr>
              <w:t>Annually</w:t>
            </w:r>
          </w:p>
        </w:tc>
      </w:tr>
    </w:tbl>
    <w:p>
      <w:r>
        <w:rPr>
          <w:b w:val="0"/>
          <w:i/>
          <w:sz w:val="18"/>
        </w:rPr>
        <w:t>Record results in the relevant workbook (e.g. ESG KPI Workbook, ESG Data Collection Workbook) and track gaps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Define the ESG data model</w:t>
            </w:r>
          </w:p>
        </w:tc>
        <w:tc>
          <w:tcPr>
            <w:tcW w:type="dxa" w:w="4320"/>
          </w:tcPr>
          <w:p>
            <w:r/>
            <w:r>
              <w:rPr>
                <w:rFonts w:ascii="Arial" w:hAnsi="Arial"/>
                <w:b w:val="0"/>
                <w:sz w:val="17"/>
              </w:rPr>
              <w:t>Data model</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collection and controls</w:t>
            </w:r>
          </w:p>
        </w:tc>
        <w:tc>
          <w:tcPr>
            <w:tcW w:type="dxa" w:w="4320"/>
            <w:shd w:val="clear" w:fill="F4F7FB"/>
          </w:tcPr>
          <w:p>
            <w:r/>
            <w:r>
              <w:rPr>
                <w:rFonts w:ascii="Arial" w:hAnsi="Arial"/>
                <w:b w:val="0"/>
                <w:sz w:val="17"/>
              </w:rPr>
              <w:t>Controlled data</w:t>
            </w:r>
          </w:p>
        </w:tc>
      </w:tr>
      <w:tr>
        <w:tc>
          <w:tcPr>
            <w:tcW w:type="dxa" w:w="1872"/>
          </w:tcPr>
          <w:p>
            <w:r/>
            <w:r>
              <w:rPr>
                <w:rFonts w:ascii="Arial" w:hAnsi="Arial"/>
                <w:b w:val="0"/>
                <w:sz w:val="17"/>
              </w:rPr>
              <w:t>Phase 3</w:t>
            </w:r>
          </w:p>
        </w:tc>
        <w:tc>
          <w:tcPr>
            <w:tcW w:type="dxa" w:w="5328"/>
          </w:tcPr>
          <w:p>
            <w:r/>
            <w:r>
              <w:rPr>
                <w:rFonts w:ascii="Arial" w:hAnsi="Arial"/>
                <w:b w:val="0"/>
                <w:sz w:val="17"/>
              </w:rPr>
              <w:t>Deploy ESG systems</w:t>
            </w:r>
          </w:p>
        </w:tc>
        <w:tc>
          <w:tcPr>
            <w:tcW w:type="dxa" w:w="4320"/>
          </w:tcPr>
          <w:p>
            <w:r/>
            <w:r>
              <w:rPr>
                <w:rFonts w:ascii="Arial" w:hAnsi="Arial"/>
                <w:b w:val="0"/>
                <w:sz w:val="17"/>
              </w:rPr>
              <w:t>Systematised data</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Reach assurance readiness</w:t>
            </w:r>
          </w:p>
        </w:tc>
        <w:tc>
          <w:tcPr>
            <w:tcW w:type="dxa" w:w="4320"/>
            <w:shd w:val="clear" w:fill="F4F7FB"/>
          </w:tcPr>
          <w:p>
            <w:r/>
            <w:r>
              <w:rPr>
                <w:rFonts w:ascii="Arial" w:hAnsi="Arial"/>
                <w:b w:val="0"/>
                <w:sz w:val="17"/>
              </w:rPr>
              <w:t>Assurance-ready</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ESG Data Collection Workbook (XLSX)</w:t>
      </w:r>
    </w:p>
    <w:p>
      <w:pPr>
        <w:pStyle w:val="ListBullet"/>
      </w:pPr>
      <w:r>
        <w:rPr>
          <w:sz w:val="19"/>
        </w:rPr>
        <w:t>ESG KPI Workbook (XLSX)</w:t>
      </w:r>
    </w:p>
    <w:p>
      <w:pPr>
        <w:pStyle w:val="ListBullet"/>
      </w:pPr>
      <w:r>
        <w:rPr>
          <w:sz w:val="19"/>
        </w:rPr>
        <w:t>ESG Assurance Readiness Workbook (XLSX)</w:t>
      </w:r>
    </w:p>
    <w:p>
      <w:pPr>
        <w:pStyle w:val="ListBullet"/>
      </w:pPr>
      <w:r>
        <w:rPr>
          <w:sz w:val="19"/>
        </w:rPr>
        <w:t>ESG Data Controls Checklist</w:t>
      </w:r>
    </w:p>
    <w:p>
      <w:pPr>
        <w:pStyle w:val="ListBullet"/>
      </w:pPr>
      <w:r>
        <w:rPr>
          <w:sz w:val="19"/>
        </w:rPr>
        <w:t>ESG Data Governance Guide</w:t>
      </w:r>
    </w:p>
    <w:p>
      <w:pPr>
        <w:pStyle w:val="Heading1"/>
      </w:pPr>
      <w:r>
        <w:t>11. Checklists</w:t>
      </w:r>
    </w:p>
    <w:p>
      <w:pPr>
        <w:ind w:left="288"/>
      </w:pPr>
      <w:r>
        <w:rPr>
          <w:sz w:val="19"/>
        </w:rPr>
        <w:t>☐  ESG data model and metrics defined</w:t>
      </w:r>
    </w:p>
    <w:p>
      <w:pPr>
        <w:ind w:left="288"/>
      </w:pPr>
      <w:r>
        <w:rPr>
          <w:sz w:val="19"/>
        </w:rPr>
        <w:t>☐  Data owners and lineage documented</w:t>
      </w:r>
    </w:p>
    <w:p>
      <w:pPr>
        <w:ind w:left="288"/>
      </w:pPr>
      <w:r>
        <w:rPr>
          <w:sz w:val="19"/>
        </w:rPr>
        <w:t>☐  Collection systematic and timely</w:t>
      </w:r>
    </w:p>
    <w:p>
      <w:pPr>
        <w:ind w:left="288"/>
      </w:pPr>
      <w:r>
        <w:rPr>
          <w:sz w:val="19"/>
        </w:rPr>
        <w:t>☐  Data controls operating</w:t>
      </w:r>
    </w:p>
    <w:p>
      <w:pPr>
        <w:ind w:left="288"/>
      </w:pPr>
      <w:r>
        <w:rPr>
          <w:sz w:val="19"/>
        </w:rPr>
        <w:t>☐  ESG systems in place</w:t>
      </w:r>
    </w:p>
    <w:p>
      <w:pPr>
        <w:ind w:left="288"/>
      </w:pPr>
      <w:r>
        <w:rPr>
          <w:sz w:val="19"/>
        </w:rPr>
        <w:t>☐  Methodologies documented</w:t>
      </w:r>
    </w:p>
    <w:p>
      <w:pPr>
        <w:ind w:left="288"/>
      </w:pPr>
      <w:r>
        <w:rPr>
          <w:sz w:val="19"/>
        </w:rPr>
        <w:t>☐  Evidence retained and retrievable</w:t>
      </w:r>
    </w:p>
    <w:p>
      <w:pPr>
        <w:ind w:left="288"/>
      </w:pPr>
      <w:r>
        <w:rPr>
          <w:sz w:val="19"/>
        </w:rPr>
        <w:t>☐  Assurance readiness assessed</w:t>
      </w:r>
    </w:p>
    <w:p>
      <w:pPr>
        <w:pStyle w:val="Heading1"/>
      </w:pPr>
      <w:r>
        <w:t>12. Board Reporting Examples</w:t>
      </w:r>
    </w:p>
    <w:p>
      <w:r>
        <w:rPr>
          <w:b w:val="0"/>
          <w:i w:val="0"/>
          <w:sz w:val="19"/>
        </w:rPr>
        <w:t>Standard ESG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Data quality</w:t>
            </w:r>
          </w:p>
        </w:tc>
        <w:tc>
          <w:tcPr>
            <w:tcW w:type="dxa" w:w="1440"/>
          </w:tcPr>
          <w:p>
            <w:r/>
            <w:r>
              <w:rPr>
                <w:rFonts w:ascii="Arial" w:hAnsi="Arial"/>
                <w:b w:val="0"/>
                <w:sz w:val="16"/>
              </w:rPr>
              <w:t>Improving</w:t>
            </w:r>
          </w:p>
        </w:tc>
        <w:tc>
          <w:tcPr>
            <w:tcW w:type="dxa" w:w="1440"/>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Strengthen controls</w:t>
            </w:r>
          </w:p>
        </w:tc>
      </w:tr>
      <w:tr>
        <w:tc>
          <w:tcPr>
            <w:tcW w:type="dxa" w:w="3168"/>
            <w:shd w:val="clear" w:fill="F4F7FB"/>
          </w:tcPr>
          <w:p>
            <w:r/>
            <w:r>
              <w:rPr>
                <w:rFonts w:ascii="Arial" w:hAnsi="Arial"/>
                <w:b w:val="0"/>
                <w:sz w:val="16"/>
              </w:rPr>
              <w:t>Controls operating</w:t>
            </w:r>
          </w:p>
        </w:tc>
        <w:tc>
          <w:tcPr>
            <w:tcW w:type="dxa" w:w="1440"/>
            <w:shd w:val="clear" w:fill="F4F7FB"/>
          </w:tcPr>
          <w:p>
            <w:r/>
            <w:r>
              <w:rPr>
                <w:rFonts w:ascii="Arial" w:hAnsi="Arial"/>
                <w:b w:val="0"/>
                <w:sz w:val="16"/>
              </w:rPr>
              <w:t>Most</w:t>
            </w:r>
          </w:p>
        </w:tc>
        <w:tc>
          <w:tcPr>
            <w:tcW w:type="dxa" w:w="1440"/>
            <w:shd w:val="clear" w:fill="F4F7FB"/>
          </w:tcPr>
          <w:p>
            <w:r/>
            <w:r>
              <w:rPr>
                <w:rFonts w:ascii="Arial" w:hAnsi="Arial"/>
                <w:b w:val="0"/>
                <w:sz w:val="16"/>
              </w:rPr>
              <w:t>All key</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Complete controls</w:t>
            </w:r>
          </w:p>
        </w:tc>
      </w:tr>
      <w:tr>
        <w:tc>
          <w:tcPr>
            <w:tcW w:type="dxa" w:w="3168"/>
          </w:tcPr>
          <w:p>
            <w:r/>
            <w:r>
              <w:rPr>
                <w:rFonts w:ascii="Arial" w:hAnsi="Arial"/>
                <w:b w:val="0"/>
                <w:sz w:val="16"/>
              </w:rPr>
              <w:t>Assurance readiness</w:t>
            </w:r>
          </w:p>
        </w:tc>
        <w:tc>
          <w:tcPr>
            <w:tcW w:type="dxa" w:w="1440"/>
          </w:tcPr>
          <w:p>
            <w:r/>
            <w:r>
              <w:rPr>
                <w:rFonts w:ascii="Arial" w:hAnsi="Arial"/>
                <w:b w:val="0"/>
                <w:sz w:val="16"/>
              </w:rPr>
              <w:t>Developing</w:t>
            </w:r>
          </w:p>
        </w:tc>
        <w:tc>
          <w:tcPr>
            <w:tcW w:type="dxa" w:w="1440"/>
          </w:tcPr>
          <w:p>
            <w:r/>
            <w:r>
              <w:rPr>
                <w:rFonts w:ascii="Arial" w:hAnsi="Arial"/>
                <w:b w:val="0"/>
                <w:sz w:val="16"/>
              </w:rPr>
              <w:t>Ready</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Close gaps</w:t>
            </w:r>
          </w:p>
        </w:tc>
      </w:tr>
      <w:tr>
        <w:tc>
          <w:tcPr>
            <w:tcW w:type="dxa" w:w="3168"/>
            <w:shd w:val="clear" w:fill="F4F7FB"/>
          </w:tcPr>
          <w:p>
            <w:r/>
            <w:r>
              <w:rPr>
                <w:rFonts w:ascii="Arial" w:hAnsi="Arial"/>
                <w:b w:val="0"/>
                <w:sz w:val="16"/>
              </w:rPr>
              <w:t>Systems coverage</w:t>
            </w:r>
          </w:p>
        </w:tc>
        <w:tc>
          <w:tcPr>
            <w:tcW w:type="dxa" w:w="1440"/>
            <w:shd w:val="clear" w:fill="F4F7FB"/>
          </w:tcPr>
          <w:p>
            <w:r/>
            <w:r>
              <w:rPr>
                <w:rFonts w:ascii="Arial" w:hAnsi="Arial"/>
                <w:b w:val="0"/>
                <w:sz w:val="16"/>
              </w:rPr>
              <w:t>Partial</w:t>
            </w:r>
          </w:p>
        </w:tc>
        <w:tc>
          <w:tcPr>
            <w:tcW w:type="dxa" w:w="1440"/>
            <w:shd w:val="clear" w:fill="F4F7FB"/>
          </w:tcPr>
          <w:p>
            <w:r/>
            <w:r>
              <w:rPr>
                <w:rFonts w:ascii="Arial" w:hAnsi="Arial"/>
                <w:b w:val="0"/>
                <w:sz w:val="16"/>
              </w:rPr>
              <w:t>Full</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Extend systems</w:t>
            </w:r>
          </w:p>
        </w:tc>
      </w:tr>
    </w:tbl>
    <w:p>
      <w:pPr>
        <w:pStyle w:val="Heading1"/>
      </w:pPr>
      <w:r>
        <w:t>13. Board / ESG Committee Reporting</w:t>
      </w:r>
    </w:p>
    <w:p>
      <w:r>
        <w:rPr>
          <w:b w:val="0"/>
          <w:i/>
          <w:sz w:val="19"/>
        </w:rPr>
        <w:t>Illustrative one-page summary for the board / ESG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ESG data</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Controls maturing; quality improving</w:t>
            </w:r>
          </w:p>
        </w:tc>
      </w:tr>
      <w:tr>
        <w:tc>
          <w:tcPr>
            <w:tcW w:type="dxa" w:w="2736"/>
            <w:shd w:val="clear" w:fill="F4F7FB"/>
          </w:tcPr>
          <w:p>
            <w:r/>
            <w:r>
              <w:rPr>
                <w:rFonts w:ascii="Arial" w:hAnsi="Arial"/>
                <w:b w:val="0"/>
                <w:sz w:val="16"/>
              </w:rPr>
              <w:t>Assurance</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Readiness developing</w:t>
            </w:r>
          </w:p>
        </w:tc>
      </w:tr>
      <w:tr>
        <w:tc>
          <w:tcPr>
            <w:tcW w:type="dxa" w:w="2736"/>
          </w:tcPr>
          <w:p>
            <w:r/>
            <w:r>
              <w:rPr>
                <w:rFonts w:ascii="Arial" w:hAnsi="Arial"/>
                <w:b w:val="0"/>
                <w:sz w:val="16"/>
              </w:rPr>
              <w:t>Systems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Coverage extending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ESG data programme</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ESG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Performance at or above target; well managed</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Performance below target or partially managed</w:t>
            </w:r>
          </w:p>
        </w:tc>
        <w:tc>
          <w:tcPr>
            <w:tcW w:type="dxa" w:w="2880"/>
            <w:shd w:val="clear" w:fill="F4F7FB"/>
          </w:tcPr>
          <w:p>
            <w:r/>
            <w:r>
              <w:rPr>
                <w:rFonts w:ascii="Arial" w:hAnsi="Arial"/>
                <w:b w:val="0"/>
                <w:sz w:val="16"/>
              </w:rPr>
              <w:t>Improve and re-measure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Significantly below target or unmanaged risk</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