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Cost Optimisation Playbook</w:t>
      </w:r>
    </w:p>
    <w:p>
      <w:r>
        <w:rPr>
          <w:rFonts w:ascii="Arial" w:hAnsi="Arial"/>
          <w:b/>
          <w:sz w:val="22"/>
        </w:rPr>
        <w:t>Toolkit · Cost Optimisation · Enterprise tier</w:t>
      </w:r>
    </w:p>
    <w:p>
      <w:r>
        <w:rPr>
          <w:rFonts w:ascii="Arial" w:hAnsi="Arial"/>
          <w:sz w:val="22"/>
        </w:rPr>
        <w:t>Structured playbook to identify, prioritise and deliver cost reduction.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Identifies cost-saving levers, sequences them by speed and impact, and defines governance.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CFO</w:t>
      </w:r>
    </w:p>
    <w:p>
      <w:pPr>
        <w:pStyle w:val="ListBullet"/>
      </w:pPr>
      <w:r>
        <w:rPr>
          <w:rFonts w:ascii="Arial" w:hAnsi="Arial"/>
          <w:sz w:val="22"/>
        </w:rPr>
        <w:t>Transformation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toolkit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Read the executive summary and identify the workstreams that apply to your group.</w:t>
      </w:r>
    </w:p>
    <w:p>
      <w:pPr>
        <w:pStyle w:val="ListNumber"/>
      </w:pPr>
      <w:r>
        <w:rPr>
          <w:rFonts w:ascii="Arial" w:hAnsi="Arial"/>
          <w:sz w:val="22"/>
        </w:rPr>
        <w:t>Localise assumptions, currencies, regulatory references and naming conventions.</w:t>
      </w:r>
    </w:p>
    <w:p>
      <w:pPr>
        <w:pStyle w:val="ListNumber"/>
      </w:pPr>
      <w:r>
        <w:rPr>
          <w:rFonts w:ascii="Arial" w:hAnsi="Arial"/>
          <w:sz w:val="22"/>
        </w:rPr>
        <w:t>Populate the working sections with current data and source-document references.</w:t>
      </w:r>
    </w:p>
    <w:p>
      <w:pPr>
        <w:pStyle w:val="ListNumber"/>
      </w:pPr>
      <w:r>
        <w:rPr>
          <w:rFonts w:ascii="Arial" w:hAnsi="Arial"/>
          <w:sz w:val="22"/>
        </w:rPr>
        <w:t>Run an internal challenge session before the first formal review.</w:t>
      </w:r>
    </w:p>
    <w:p>
      <w:pPr>
        <w:pStyle w:val="ListNumber"/>
      </w:pPr>
      <w:r>
        <w:rPr>
          <w:rFonts w:ascii="Arial" w:hAnsi="Arial"/>
          <w:sz w:val="22"/>
        </w:rPr>
        <w:t>Present at the relevant committee (Treasury, ALCO, ExCo or Board).</w:t>
      </w:r>
    </w:p>
    <w:p>
      <w:pPr>
        <w:pStyle w:val="ListNumber"/>
      </w:pPr>
      <w:r>
        <w:rPr>
          <w:rFonts w:ascii="Arial" w:hAnsi="Arial"/>
          <w:sz w:val="22"/>
        </w:rPr>
        <w:t>Capture decisions and actions; refresh on the agreed cadence.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Reviewed at least quarterly and refreshed when underlying assumptions change.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Initiative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Owner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Committed (m)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Realised YTD (m)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Status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P&amp;L Line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Distribution route review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Supply Chain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420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180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On track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Distribution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IT vendor consolidation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CIO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310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95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At risk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IT Opex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Energy efficiency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Facilities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180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110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On track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Utilities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Spans &amp; layers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HR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540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220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On track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People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Cost reduction</w:t>
      </w:r>
    </w:p>
    <w:p>
      <w:pPr>
        <w:pStyle w:val="ListBullet"/>
      </w:pPr>
      <w:r>
        <w:rPr>
          <w:rFonts w:ascii="Arial" w:hAnsi="Arial"/>
          <w:sz w:val="22"/>
        </w:rPr>
        <w:t>Levers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