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Value Case Template</w:t>
      </w:r>
    </w:p>
    <w:p>
      <w:r>
        <w:rPr>
          <w:i/>
          <w:color w:val="555555"/>
        </w:rPr>
        <w:t>Outliers Professionals — Data &amp; AI Centre™ · Template · Professional</w:t>
      </w:r>
    </w:p>
    <w:p>
      <w:r>
        <w:t>Resource ID: res_ai_value_case_template    |    Audience: Data/AI &amp; business leaders</w:t>
      </w:r>
    </w:p>
    <w:p/>
    <w:p>
      <w:pPr>
        <w:pStyle w:val="Heading1"/>
      </w:pPr>
      <w:r>
        <w:t>Purpose</w:t>
      </w:r>
    </w:p>
    <w:p>
      <w:r>
        <w:t>This template — AI Value Case Template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Control Area</w:t>
            </w:r>
          </w:p>
        </w:tc>
        <w:tc>
          <w:tcPr>
            <w:tcW w:type="dxa" w:w="1728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  <w:t>Frequency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Evidence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t>Policy attestation</w:t>
            </w:r>
          </w:p>
        </w:tc>
        <w:tc>
          <w:tcPr>
            <w:tcW w:type="dxa" w:w="1728"/>
          </w:tcPr>
          <w:p>
            <w:r>
              <w:t>Data Owner</w:t>
            </w:r>
          </w:p>
        </w:tc>
        <w:tc>
          <w:tcPr>
            <w:tcW w:type="dxa" w:w="1728"/>
          </w:tcPr>
          <w:p>
            <w:r>
              <w:t>Annual</w:t>
            </w:r>
          </w:p>
        </w:tc>
        <w:tc>
          <w:tcPr>
            <w:tcW w:type="dxa" w:w="1728"/>
          </w:tcPr>
          <w:p>
            <w:r>
              <w:t>Signed attestation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Access recertification</w:t>
            </w:r>
          </w:p>
        </w:tc>
        <w:tc>
          <w:tcPr>
            <w:tcW w:type="dxa" w:w="1728"/>
          </w:tcPr>
          <w:p>
            <w:r>
              <w:t>Domain Steward</w:t>
            </w:r>
          </w:p>
        </w:tc>
        <w:tc>
          <w:tcPr>
            <w:tcW w:type="dxa" w:w="1728"/>
          </w:tcPr>
          <w:p>
            <w:r>
              <w:t>Quarterly</w:t>
            </w:r>
          </w:p>
        </w:tc>
        <w:tc>
          <w:tcPr>
            <w:tcW w:type="dxa" w:w="1728"/>
          </w:tcPr>
          <w:p>
            <w:r>
              <w:t>IAM report</w:t>
            </w:r>
          </w:p>
        </w:tc>
        <w:tc>
          <w:tcPr>
            <w:tcW w:type="dxa" w:w="1728"/>
          </w:tcPr>
          <w:p>
            <w:r>
              <w:t>Amber</w:t>
            </w:r>
          </w:p>
        </w:tc>
      </w:tr>
      <w:tr>
        <w:tc>
          <w:tcPr>
            <w:tcW w:type="dxa" w:w="1728"/>
          </w:tcPr>
          <w:p>
            <w:r>
              <w:t>Quality monitoring</w:t>
            </w:r>
          </w:p>
        </w:tc>
        <w:tc>
          <w:tcPr>
            <w:tcW w:type="dxa" w:w="1728"/>
          </w:tcPr>
          <w:p>
            <w:r>
              <w:t>Data Quality Lead</w:t>
            </w:r>
          </w:p>
        </w:tc>
        <w:tc>
          <w:tcPr>
            <w:tcW w:type="dxa" w:w="1728"/>
          </w:tcPr>
          <w:p>
            <w:r>
              <w:t>Monthly</w:t>
            </w:r>
          </w:p>
        </w:tc>
        <w:tc>
          <w:tcPr>
            <w:tcW w:type="dxa" w:w="1728"/>
          </w:tcPr>
          <w:p>
            <w:r>
              <w:t>DQ dashboard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Incident review</w:t>
            </w:r>
          </w:p>
        </w:tc>
        <w:tc>
          <w:tcPr>
            <w:tcW w:type="dxa" w:w="1728"/>
          </w:tcPr>
          <w:p>
            <w:r>
              <w:t>DPO / Model Risk</w:t>
            </w:r>
          </w:p>
        </w:tc>
        <w:tc>
          <w:tcPr>
            <w:tcW w:type="dxa" w:w="1728"/>
          </w:tcPr>
          <w:p>
            <w:r>
              <w:t>Per event</w:t>
            </w:r>
          </w:p>
        </w:tc>
        <w:tc>
          <w:tcPr>
            <w:tcW w:type="dxa" w:w="1728"/>
          </w:tcPr>
          <w:p>
            <w:r>
              <w:t>Incident log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