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CFO EXCELLENCE CENTRE™</w:t>
      </w:r>
    </w:p>
    <w:p>
      <w:pPr>
        <w:jc w:val="center"/>
      </w:pPr>
      <w:r>
        <w:rPr>
          <w:b/>
          <w:color w:val="10243F"/>
          <w:sz w:val="48"/>
        </w:rPr>
        <w:t>Monthly CFO Report Template</w:t>
      </w:r>
    </w:p>
    <w:p>
      <w:pPr>
        <w:jc w:val="center"/>
      </w:pPr>
      <w:r>
        <w:rPr>
          <w:color w:val="C97B2C"/>
          <w:sz w:val="26"/>
        </w:rPr>
        <w:t>Monthly finance report</w:t>
      </w:r>
    </w:p>
    <w:p/>
    <w:p/>
    <w:p>
      <w:pPr>
        <w:jc w:val="center"/>
      </w:pPr>
      <w:r>
        <w:rPr>
          <w:color w:val="555555"/>
          <w:sz w:val="20"/>
        </w:rPr>
        <w:t>CFO / Executive  ·  Flagship Edition 2026</w:t>
      </w:r>
    </w:p>
    <w:p>
      <w:pPr>
        <w:jc w:val="center"/>
      </w:pPr>
      <w:r>
        <w:rPr>
          <w:i/>
          <w:color w:val="555555"/>
          <w:sz w:val="18"/>
        </w:rPr>
        <w:t>Outliers Professionals Ltd — publication-ready resource for the CFO Excellence Centre Resource Library</w:t>
      </w:r>
    </w:p>
    <w:p>
      <w:r>
        <w:br w:type="page"/>
      </w:r>
    </w:p>
    <w:p>
      <w:pPr>
        <w:pStyle w:val="Heading1"/>
      </w:pPr>
      <w:r>
        <w:t>Monthly CFO Report — [Month / Year]</w:t>
      </w:r>
    </w:p>
    <w:p>
      <w:r>
        <w:rPr>
          <w:b w:val="0"/>
          <w:i/>
          <w:sz w:val="19"/>
        </w:rPr>
        <w:t>Prepared by: [CFO]  ·  Date: [date]  ·  Classification: Confidential</w:t>
      </w:r>
    </w:p>
    <w:p>
      <w:pPr>
        <w:pStyle w:val="Heading2"/>
      </w:pPr>
      <w:r>
        <w:t>1. Executive Summary</w:t>
      </w:r>
    </w:p>
    <w:p>
      <w:r>
        <w:rPr>
          <w:b w:val="0"/>
          <w:i w:val="0"/>
          <w:sz w:val="20"/>
        </w:rPr>
        <w:t>[Overall RAG and key messages for the month.]</w:t>
      </w:r>
    </w:p>
    <w:p>
      <w:pPr>
        <w:pStyle w:val="Heading2"/>
      </w:pPr>
      <w:r>
        <w:t>2. Performance vs Budget</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2736"/>
            <w:shd w:val="clear" w:fill="1B4D89"/>
          </w:tcPr>
          <w:p>
            <w:r/>
            <w:r>
              <w:rPr>
                <w:rFonts w:ascii="Arial" w:hAnsi="Arial"/>
                <w:b/>
                <w:color w:val="FFFFFF"/>
                <w:sz w:val="16"/>
              </w:rPr>
              <w:t>Measure</w:t>
            </w:r>
          </w:p>
        </w:tc>
        <w:tc>
          <w:tcPr>
            <w:tcW w:type="dxa" w:w="1728"/>
            <w:shd w:val="clear" w:fill="1B4D89"/>
          </w:tcPr>
          <w:p>
            <w:r/>
            <w:r>
              <w:rPr>
                <w:rFonts w:ascii="Arial" w:hAnsi="Arial"/>
                <w:b/>
                <w:color w:val="FFFFFF"/>
                <w:sz w:val="16"/>
              </w:rPr>
              <w:t>Month Actual</w:t>
            </w:r>
          </w:p>
        </w:tc>
        <w:tc>
          <w:tcPr>
            <w:tcW w:type="dxa" w:w="1728"/>
            <w:shd w:val="clear" w:fill="1B4D89"/>
          </w:tcPr>
          <w:p>
            <w:r/>
            <w:r>
              <w:rPr>
                <w:rFonts w:ascii="Arial" w:hAnsi="Arial"/>
                <w:b/>
                <w:color w:val="FFFFFF"/>
                <w:sz w:val="16"/>
              </w:rPr>
              <w:t>Month Budget</w:t>
            </w:r>
          </w:p>
        </w:tc>
        <w:tc>
          <w:tcPr>
            <w:tcW w:type="dxa" w:w="1584"/>
            <w:shd w:val="clear" w:fill="1B4D89"/>
          </w:tcPr>
          <w:p>
            <w:r/>
            <w:r>
              <w:rPr>
                <w:rFonts w:ascii="Arial" w:hAnsi="Arial"/>
                <w:b/>
                <w:color w:val="FFFFFF"/>
                <w:sz w:val="16"/>
              </w:rPr>
              <w:t>YTD Actual</w:t>
            </w:r>
          </w:p>
        </w:tc>
        <w:tc>
          <w:tcPr>
            <w:tcW w:type="dxa" w:w="1584"/>
            <w:shd w:val="clear" w:fill="1B4D89"/>
          </w:tcPr>
          <w:p>
            <w:r/>
            <w:r>
              <w:rPr>
                <w:rFonts w:ascii="Arial" w:hAnsi="Arial"/>
                <w:b/>
                <w:color w:val="FFFFFF"/>
                <w:sz w:val="16"/>
              </w:rPr>
              <w:t>YTD Budget</w:t>
            </w:r>
          </w:p>
        </w:tc>
        <w:tc>
          <w:tcPr>
            <w:tcW w:type="dxa" w:w="1296"/>
            <w:shd w:val="clear" w:fill="1B4D89"/>
          </w:tcPr>
          <w:p>
            <w:r/>
            <w:r>
              <w:rPr>
                <w:rFonts w:ascii="Arial" w:hAnsi="Arial"/>
                <w:b/>
                <w:color w:val="FFFFFF"/>
                <w:sz w:val="16"/>
              </w:rPr>
              <w:t>RAG</w:t>
            </w:r>
          </w:p>
        </w:tc>
      </w:tr>
      <w:tr>
        <w:tc>
          <w:tcPr>
            <w:tcW w:type="dxa" w:w="2736"/>
          </w:tcPr>
          <w:p>
            <w:r/>
            <w:r>
              <w:rPr>
                <w:rFonts w:ascii="Arial" w:hAnsi="Arial"/>
                <w:b w:val="0"/>
                <w:sz w:val="16"/>
              </w:rPr>
              <w:t>Revenue (₦m)</w:t>
            </w:r>
          </w:p>
        </w:tc>
        <w:tc>
          <w:tcPr>
            <w:tcW w:type="dxa" w:w="1728"/>
          </w:tcPr>
          <w:p>
            <w:r/>
            <w:r>
              <w:rPr>
                <w:rFonts w:ascii="Arial" w:hAnsi="Arial"/>
                <w:b w:val="0"/>
                <w:sz w:val="16"/>
              </w:rPr>
              <w:t>[ ]</w:t>
            </w:r>
          </w:p>
        </w:tc>
        <w:tc>
          <w:tcPr>
            <w:tcW w:type="dxa" w:w="1728"/>
          </w:tcPr>
          <w:p>
            <w:r/>
            <w:r>
              <w:rPr>
                <w:rFonts w:ascii="Arial" w:hAnsi="Arial"/>
                <w:b w:val="0"/>
                <w:sz w:val="16"/>
              </w:rPr>
              <w:t>[ ]</w:t>
            </w:r>
          </w:p>
        </w:tc>
        <w:tc>
          <w:tcPr>
            <w:tcW w:type="dxa" w:w="1584"/>
          </w:tcPr>
          <w:p>
            <w:r/>
            <w:r>
              <w:rPr>
                <w:rFonts w:ascii="Arial" w:hAnsi="Arial"/>
                <w:b w:val="0"/>
                <w:sz w:val="16"/>
              </w:rPr>
              <w:t>[ ]</w:t>
            </w:r>
          </w:p>
        </w:tc>
        <w:tc>
          <w:tcPr>
            <w:tcW w:type="dxa" w:w="1584"/>
          </w:tcPr>
          <w:p>
            <w:r/>
            <w:r>
              <w:rPr>
                <w:rFonts w:ascii="Arial" w:hAnsi="Arial"/>
                <w:b w:val="0"/>
                <w:sz w:val="16"/>
              </w:rPr>
              <w:t>[ ]</w:t>
            </w:r>
          </w:p>
        </w:tc>
        <w:tc>
          <w:tcPr>
            <w:tcW w:type="dxa" w:w="1296"/>
            <w:shd w:val="clear" w:fill="E08A2B"/>
          </w:tcPr>
          <w:p>
            <w:pPr>
              <w:jc w:val="center"/>
            </w:pPr>
            <w:r/>
            <w:r>
              <w:rPr>
                <w:rFonts w:ascii="Arial" w:hAnsi="Arial"/>
                <w:b/>
                <w:color w:val="FFFFFF"/>
                <w:sz w:val="16"/>
              </w:rPr>
              <w:t>Amber</w:t>
            </w:r>
          </w:p>
        </w:tc>
      </w:tr>
      <w:tr>
        <w:tc>
          <w:tcPr>
            <w:tcW w:type="dxa" w:w="2736"/>
            <w:shd w:val="clear" w:fill="F4F7FB"/>
          </w:tcPr>
          <w:p>
            <w:r/>
            <w:r>
              <w:rPr>
                <w:rFonts w:ascii="Arial" w:hAnsi="Arial"/>
                <w:b w:val="0"/>
                <w:sz w:val="16"/>
              </w:rPr>
              <w:t>Gross profit (₦m)</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 ]</w:t>
            </w:r>
          </w:p>
        </w:tc>
        <w:tc>
          <w:tcPr>
            <w:tcW w:type="dxa" w:w="1584"/>
            <w:shd w:val="clear" w:fill="F4F7FB"/>
          </w:tcPr>
          <w:p>
            <w:r/>
            <w:r>
              <w:rPr>
                <w:rFonts w:ascii="Arial" w:hAnsi="Arial"/>
                <w:b w:val="0"/>
                <w:sz w:val="16"/>
              </w:rPr>
              <w:t>[ ]</w:t>
            </w:r>
          </w:p>
        </w:tc>
        <w:tc>
          <w:tcPr>
            <w:tcW w:type="dxa" w:w="1584"/>
            <w:shd w:val="clear" w:fill="F4F7FB"/>
          </w:tcPr>
          <w:p>
            <w:r/>
            <w:r>
              <w:rPr>
                <w:rFonts w:ascii="Arial" w:hAnsi="Arial"/>
                <w:b w:val="0"/>
                <w:sz w:val="16"/>
              </w:rPr>
              <w:t>[ ]</w:t>
            </w:r>
          </w:p>
        </w:tc>
        <w:tc>
          <w:tcPr>
            <w:tcW w:type="dxa" w:w="1296"/>
            <w:shd w:val="clear" w:fill="F4F7FB"/>
            <w:shd w:val="clear" w:fill="E08A2B"/>
          </w:tcPr>
          <w:p>
            <w:pPr>
              <w:jc w:val="center"/>
            </w:pPr>
            <w:r/>
            <w:r>
              <w:rPr>
                <w:rFonts w:ascii="Arial" w:hAnsi="Arial"/>
                <w:b/>
                <w:color w:val="FFFFFF"/>
                <w:sz w:val="16"/>
              </w:rPr>
              <w:t>Amber</w:t>
            </w:r>
          </w:p>
        </w:tc>
      </w:tr>
      <w:tr>
        <w:tc>
          <w:tcPr>
            <w:tcW w:type="dxa" w:w="2736"/>
          </w:tcPr>
          <w:p>
            <w:r/>
            <w:r>
              <w:rPr>
                <w:rFonts w:ascii="Arial" w:hAnsi="Arial"/>
                <w:b w:val="0"/>
                <w:sz w:val="16"/>
              </w:rPr>
              <w:t>EBITDA (₦m)</w:t>
            </w:r>
          </w:p>
        </w:tc>
        <w:tc>
          <w:tcPr>
            <w:tcW w:type="dxa" w:w="1728"/>
          </w:tcPr>
          <w:p>
            <w:r/>
            <w:r>
              <w:rPr>
                <w:rFonts w:ascii="Arial" w:hAnsi="Arial"/>
                <w:b w:val="0"/>
                <w:sz w:val="16"/>
              </w:rPr>
              <w:t>[ ]</w:t>
            </w:r>
          </w:p>
        </w:tc>
        <w:tc>
          <w:tcPr>
            <w:tcW w:type="dxa" w:w="1728"/>
          </w:tcPr>
          <w:p>
            <w:r/>
            <w:r>
              <w:rPr>
                <w:rFonts w:ascii="Arial" w:hAnsi="Arial"/>
                <w:b w:val="0"/>
                <w:sz w:val="16"/>
              </w:rPr>
              <w:t>[ ]</w:t>
            </w:r>
          </w:p>
        </w:tc>
        <w:tc>
          <w:tcPr>
            <w:tcW w:type="dxa" w:w="1584"/>
          </w:tcPr>
          <w:p>
            <w:r/>
            <w:r>
              <w:rPr>
                <w:rFonts w:ascii="Arial" w:hAnsi="Arial"/>
                <w:b w:val="0"/>
                <w:sz w:val="16"/>
              </w:rPr>
              <w:t>[ ]</w:t>
            </w:r>
          </w:p>
        </w:tc>
        <w:tc>
          <w:tcPr>
            <w:tcW w:type="dxa" w:w="1584"/>
          </w:tcPr>
          <w:p>
            <w:r/>
            <w:r>
              <w:rPr>
                <w:rFonts w:ascii="Arial" w:hAnsi="Arial"/>
                <w:b w:val="0"/>
                <w:sz w:val="16"/>
              </w:rPr>
              <w:t>[ ]</w:t>
            </w:r>
          </w:p>
        </w:tc>
        <w:tc>
          <w:tcPr>
            <w:tcW w:type="dxa" w:w="1296"/>
            <w:shd w:val="clear" w:fill="E08A2B"/>
          </w:tcPr>
          <w:p>
            <w:pPr>
              <w:jc w:val="center"/>
            </w:pPr>
            <w:r/>
            <w:r>
              <w:rPr>
                <w:rFonts w:ascii="Arial" w:hAnsi="Arial"/>
                <w:b/>
                <w:color w:val="FFFFFF"/>
                <w:sz w:val="16"/>
              </w:rPr>
              <w:t>Amber</w:t>
            </w:r>
          </w:p>
        </w:tc>
      </w:tr>
      <w:tr>
        <w:tc>
          <w:tcPr>
            <w:tcW w:type="dxa" w:w="2736"/>
            <w:shd w:val="clear" w:fill="F4F7FB"/>
          </w:tcPr>
          <w:p>
            <w:r/>
            <w:r>
              <w:rPr>
                <w:rFonts w:ascii="Arial" w:hAnsi="Arial"/>
                <w:b w:val="0"/>
                <w:sz w:val="16"/>
              </w:rPr>
              <w:t>Operating cash flow (₦m)</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 ]</w:t>
            </w:r>
          </w:p>
        </w:tc>
        <w:tc>
          <w:tcPr>
            <w:tcW w:type="dxa" w:w="1584"/>
            <w:shd w:val="clear" w:fill="F4F7FB"/>
          </w:tcPr>
          <w:p>
            <w:r/>
            <w:r>
              <w:rPr>
                <w:rFonts w:ascii="Arial" w:hAnsi="Arial"/>
                <w:b w:val="0"/>
                <w:sz w:val="16"/>
              </w:rPr>
              <w:t>[ ]</w:t>
            </w:r>
          </w:p>
        </w:tc>
        <w:tc>
          <w:tcPr>
            <w:tcW w:type="dxa" w:w="1584"/>
            <w:shd w:val="clear" w:fill="F4F7FB"/>
          </w:tcPr>
          <w:p>
            <w:r/>
            <w:r>
              <w:rPr>
                <w:rFonts w:ascii="Arial" w:hAnsi="Arial"/>
                <w:b w:val="0"/>
                <w:sz w:val="16"/>
              </w:rPr>
              <w:t>[ ]</w:t>
            </w:r>
          </w:p>
        </w:tc>
        <w:tc>
          <w:tcPr>
            <w:tcW w:type="dxa" w:w="1296"/>
            <w:shd w:val="clear" w:fill="F4F7FB"/>
            <w:shd w:val="clear" w:fill="2E7D5B"/>
          </w:tcPr>
          <w:p>
            <w:pPr>
              <w:jc w:val="center"/>
            </w:pPr>
            <w:r/>
            <w:r>
              <w:rPr>
                <w:rFonts w:ascii="Arial" w:hAnsi="Arial"/>
                <w:b/>
                <w:color w:val="FFFFFF"/>
                <w:sz w:val="16"/>
              </w:rPr>
              <w:t>Green</w:t>
            </w:r>
          </w:p>
        </w:tc>
      </w:tr>
    </w:tbl>
    <w:p>
      <w:pPr>
        <w:pStyle w:val="Heading2"/>
      </w:pPr>
      <w:r>
        <w:t>3. Cash &amp; Working Capital</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3744"/>
            <w:shd w:val="clear" w:fill="1B4D89"/>
          </w:tcPr>
          <w:p>
            <w:r/>
            <w:r>
              <w:rPr>
                <w:rFonts w:ascii="Arial" w:hAnsi="Arial"/>
                <w:b/>
                <w:color w:val="FFFFFF"/>
                <w:sz w:val="16"/>
              </w:rPr>
              <w:t>Metric</w:t>
            </w:r>
          </w:p>
        </w:tc>
        <w:tc>
          <w:tcPr>
            <w:tcW w:type="dxa" w:w="1728"/>
            <w:shd w:val="clear" w:fill="1B4D89"/>
          </w:tcPr>
          <w:p>
            <w:r/>
            <w:r>
              <w:rPr>
                <w:rFonts w:ascii="Arial" w:hAnsi="Arial"/>
                <w:b/>
                <w:color w:val="FFFFFF"/>
                <w:sz w:val="16"/>
              </w:rPr>
              <w:t>Value</w:t>
            </w:r>
          </w:p>
        </w:tc>
        <w:tc>
          <w:tcPr>
            <w:tcW w:type="dxa" w:w="1728"/>
            <w:shd w:val="clear" w:fill="1B4D89"/>
          </w:tcPr>
          <w:p>
            <w:r/>
            <w:r>
              <w:rPr>
                <w:rFonts w:ascii="Arial" w:hAnsi="Arial"/>
                <w:b/>
                <w:color w:val="FFFFFF"/>
                <w:sz w:val="16"/>
              </w:rPr>
              <w:t>Target</w:t>
            </w:r>
          </w:p>
        </w:tc>
        <w:tc>
          <w:tcPr>
            <w:tcW w:type="dxa" w:w="1296"/>
            <w:shd w:val="clear" w:fill="1B4D89"/>
          </w:tcPr>
          <w:p>
            <w:r/>
            <w:r>
              <w:rPr>
                <w:rFonts w:ascii="Arial" w:hAnsi="Arial"/>
                <w:b/>
                <w:color w:val="FFFFFF"/>
                <w:sz w:val="16"/>
              </w:rPr>
              <w:t>RAG</w:t>
            </w:r>
          </w:p>
        </w:tc>
      </w:tr>
      <w:tr>
        <w:tc>
          <w:tcPr>
            <w:tcW w:type="dxa" w:w="3744"/>
          </w:tcPr>
          <w:p>
            <w:r/>
            <w:r>
              <w:rPr>
                <w:rFonts w:ascii="Arial" w:hAnsi="Arial"/>
                <w:b w:val="0"/>
                <w:sz w:val="16"/>
              </w:rPr>
              <w:t>Closing cash (₦m)</w:t>
            </w:r>
          </w:p>
        </w:tc>
        <w:tc>
          <w:tcPr>
            <w:tcW w:type="dxa" w:w="1728"/>
          </w:tcPr>
          <w:p>
            <w:r/>
            <w:r>
              <w:rPr>
                <w:rFonts w:ascii="Arial" w:hAnsi="Arial"/>
                <w:b w:val="0"/>
                <w:sz w:val="16"/>
              </w:rPr>
              <w:t>[ ]</w:t>
            </w:r>
          </w:p>
        </w:tc>
        <w:tc>
          <w:tcPr>
            <w:tcW w:type="dxa" w:w="1728"/>
          </w:tcPr>
          <w:p>
            <w:r/>
            <w:r>
              <w:rPr>
                <w:rFonts w:ascii="Arial" w:hAnsi="Arial"/>
                <w:b w:val="0"/>
                <w:sz w:val="16"/>
              </w:rPr>
              <w:t>[ ]</w:t>
            </w:r>
          </w:p>
        </w:tc>
        <w:tc>
          <w:tcPr>
            <w:tcW w:type="dxa" w:w="1296"/>
            <w:shd w:val="clear" w:fill="2E7D5B"/>
          </w:tcPr>
          <w:p>
            <w:pPr>
              <w:jc w:val="center"/>
            </w:pPr>
            <w:r/>
            <w:r>
              <w:rPr>
                <w:rFonts w:ascii="Arial" w:hAnsi="Arial"/>
                <w:b/>
                <w:color w:val="FFFFFF"/>
                <w:sz w:val="16"/>
              </w:rPr>
              <w:t>Green</w:t>
            </w:r>
          </w:p>
        </w:tc>
      </w:tr>
      <w:tr>
        <w:tc>
          <w:tcPr>
            <w:tcW w:type="dxa" w:w="3744"/>
            <w:shd w:val="clear" w:fill="F4F7FB"/>
          </w:tcPr>
          <w:p>
            <w:r/>
            <w:r>
              <w:rPr>
                <w:rFonts w:ascii="Arial" w:hAnsi="Arial"/>
                <w:b w:val="0"/>
                <w:sz w:val="16"/>
              </w:rPr>
              <w:t>Cash conversion cycle (days)</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 ]</w:t>
            </w:r>
          </w:p>
        </w:tc>
        <w:tc>
          <w:tcPr>
            <w:tcW w:type="dxa" w:w="1296"/>
            <w:shd w:val="clear" w:fill="F4F7FB"/>
            <w:shd w:val="clear" w:fill="E08A2B"/>
          </w:tcPr>
          <w:p>
            <w:pPr>
              <w:jc w:val="center"/>
            </w:pPr>
            <w:r/>
            <w:r>
              <w:rPr>
                <w:rFonts w:ascii="Arial" w:hAnsi="Arial"/>
                <w:b/>
                <w:color w:val="FFFFFF"/>
                <w:sz w:val="16"/>
              </w:rPr>
              <w:t>Amber</w:t>
            </w:r>
          </w:p>
        </w:tc>
      </w:tr>
      <w:tr>
        <w:tc>
          <w:tcPr>
            <w:tcW w:type="dxa" w:w="3744"/>
          </w:tcPr>
          <w:p>
            <w:r/>
            <w:r>
              <w:rPr>
                <w:rFonts w:ascii="Arial" w:hAnsi="Arial"/>
                <w:b w:val="0"/>
                <w:sz w:val="16"/>
              </w:rPr>
              <w:t>DSO (days)</w:t>
            </w:r>
          </w:p>
        </w:tc>
        <w:tc>
          <w:tcPr>
            <w:tcW w:type="dxa" w:w="1728"/>
          </w:tcPr>
          <w:p>
            <w:r/>
            <w:r>
              <w:rPr>
                <w:rFonts w:ascii="Arial" w:hAnsi="Arial"/>
                <w:b w:val="0"/>
                <w:sz w:val="16"/>
              </w:rPr>
              <w:t>[ ]</w:t>
            </w:r>
          </w:p>
        </w:tc>
        <w:tc>
          <w:tcPr>
            <w:tcW w:type="dxa" w:w="1728"/>
          </w:tcPr>
          <w:p>
            <w:r/>
            <w:r>
              <w:rPr>
                <w:rFonts w:ascii="Arial" w:hAnsi="Arial"/>
                <w:b w:val="0"/>
                <w:sz w:val="16"/>
              </w:rPr>
              <w:t>[ ]</w:t>
            </w:r>
          </w:p>
        </w:tc>
        <w:tc>
          <w:tcPr>
            <w:tcW w:type="dxa" w:w="1296"/>
            <w:shd w:val="clear" w:fill="E08A2B"/>
          </w:tcPr>
          <w:p>
            <w:pPr>
              <w:jc w:val="center"/>
            </w:pPr>
            <w:r/>
            <w:r>
              <w:rPr>
                <w:rFonts w:ascii="Arial" w:hAnsi="Arial"/>
                <w:b/>
                <w:color w:val="FFFFFF"/>
                <w:sz w:val="16"/>
              </w:rPr>
              <w:t>Amber</w:t>
            </w:r>
          </w:p>
        </w:tc>
      </w:tr>
    </w:tbl>
    <w:p>
      <w:pPr>
        <w:pStyle w:val="Heading2"/>
      </w:pPr>
      <w:r>
        <w:t>4. Key KPIs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3744"/>
            <w:shd w:val="clear" w:fill="1B4D89"/>
          </w:tcPr>
          <w:p>
            <w:r/>
            <w:r>
              <w:rPr>
                <w:rFonts w:ascii="Arial" w:hAnsi="Arial"/>
                <w:b/>
                <w:color w:val="FFFFFF"/>
                <w:sz w:val="16"/>
              </w:rPr>
              <w:t>KPI</w:t>
            </w:r>
          </w:p>
        </w:tc>
        <w:tc>
          <w:tcPr>
            <w:tcW w:type="dxa" w:w="1728"/>
            <w:shd w:val="clear" w:fill="1B4D89"/>
          </w:tcPr>
          <w:p>
            <w:r/>
            <w:r>
              <w:rPr>
                <w:rFonts w:ascii="Arial" w:hAnsi="Arial"/>
                <w:b/>
                <w:color w:val="FFFFFF"/>
                <w:sz w:val="16"/>
              </w:rPr>
              <w:t>Actual</w:t>
            </w:r>
          </w:p>
        </w:tc>
        <w:tc>
          <w:tcPr>
            <w:tcW w:type="dxa" w:w="1728"/>
            <w:shd w:val="clear" w:fill="1B4D89"/>
          </w:tcPr>
          <w:p>
            <w:r/>
            <w:r>
              <w:rPr>
                <w:rFonts w:ascii="Arial" w:hAnsi="Arial"/>
                <w:b/>
                <w:color w:val="FFFFFF"/>
                <w:sz w:val="16"/>
              </w:rPr>
              <w:t>Target</w:t>
            </w:r>
          </w:p>
        </w:tc>
        <w:tc>
          <w:tcPr>
            <w:tcW w:type="dxa" w:w="1296"/>
            <w:shd w:val="clear" w:fill="1B4D89"/>
          </w:tcPr>
          <w:p>
            <w:r/>
            <w:r>
              <w:rPr>
                <w:rFonts w:ascii="Arial" w:hAnsi="Arial"/>
                <w:b/>
                <w:color w:val="FFFFFF"/>
                <w:sz w:val="16"/>
              </w:rPr>
              <w:t>RAG</w:t>
            </w:r>
          </w:p>
        </w:tc>
      </w:tr>
      <w:tr>
        <w:tc>
          <w:tcPr>
            <w:tcW w:type="dxa" w:w="3744"/>
          </w:tcPr>
          <w:p>
            <w:r/>
            <w:r>
              <w:rPr>
                <w:rFonts w:ascii="Arial" w:hAnsi="Arial"/>
                <w:b w:val="0"/>
                <w:sz w:val="16"/>
              </w:rPr>
              <w:t>EBITDA margin %</w:t>
            </w:r>
          </w:p>
        </w:tc>
        <w:tc>
          <w:tcPr>
            <w:tcW w:type="dxa" w:w="1728"/>
          </w:tcPr>
          <w:p>
            <w:r/>
            <w:r>
              <w:rPr>
                <w:rFonts w:ascii="Arial" w:hAnsi="Arial"/>
                <w:b w:val="0"/>
                <w:sz w:val="16"/>
              </w:rPr>
              <w:t>[ ]</w:t>
            </w:r>
          </w:p>
        </w:tc>
        <w:tc>
          <w:tcPr>
            <w:tcW w:type="dxa" w:w="1728"/>
          </w:tcPr>
          <w:p>
            <w:r/>
            <w:r>
              <w:rPr>
                <w:rFonts w:ascii="Arial" w:hAnsi="Arial"/>
                <w:b w:val="0"/>
                <w:sz w:val="16"/>
              </w:rPr>
              <w:t>[ ]</w:t>
            </w:r>
          </w:p>
        </w:tc>
        <w:tc>
          <w:tcPr>
            <w:tcW w:type="dxa" w:w="1296"/>
            <w:shd w:val="clear" w:fill="E08A2B"/>
          </w:tcPr>
          <w:p>
            <w:pPr>
              <w:jc w:val="center"/>
            </w:pPr>
            <w:r/>
            <w:r>
              <w:rPr>
                <w:rFonts w:ascii="Arial" w:hAnsi="Arial"/>
                <w:b/>
                <w:color w:val="FFFFFF"/>
                <w:sz w:val="16"/>
              </w:rPr>
              <w:t>Amber</w:t>
            </w:r>
          </w:p>
        </w:tc>
      </w:tr>
      <w:tr>
        <w:tc>
          <w:tcPr>
            <w:tcW w:type="dxa" w:w="3744"/>
            <w:shd w:val="clear" w:fill="F4F7FB"/>
          </w:tcPr>
          <w:p>
            <w:r/>
            <w:r>
              <w:rPr>
                <w:rFonts w:ascii="Arial" w:hAnsi="Arial"/>
                <w:b w:val="0"/>
                <w:sz w:val="16"/>
              </w:rPr>
              <w:t>Forecast accuracy %</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 ]</w:t>
            </w:r>
          </w:p>
        </w:tc>
        <w:tc>
          <w:tcPr>
            <w:tcW w:type="dxa" w:w="1296"/>
            <w:shd w:val="clear" w:fill="F4F7FB"/>
            <w:shd w:val="clear" w:fill="2E7D5B"/>
          </w:tcPr>
          <w:p>
            <w:pPr>
              <w:jc w:val="center"/>
            </w:pPr>
            <w:r/>
            <w:r>
              <w:rPr>
                <w:rFonts w:ascii="Arial" w:hAnsi="Arial"/>
                <w:b/>
                <w:color w:val="FFFFFF"/>
                <w:sz w:val="16"/>
              </w:rPr>
              <w:t>Green</w:t>
            </w:r>
          </w:p>
        </w:tc>
      </w:tr>
      <w:tr>
        <w:tc>
          <w:tcPr>
            <w:tcW w:type="dxa" w:w="3744"/>
          </w:tcPr>
          <w:p>
            <w:r/>
            <w:r>
              <w:rPr>
                <w:rFonts w:ascii="Arial" w:hAnsi="Arial"/>
                <w:b w:val="0"/>
                <w:sz w:val="16"/>
              </w:rPr>
              <w:t>Cost-to-income %</w:t>
            </w:r>
          </w:p>
        </w:tc>
        <w:tc>
          <w:tcPr>
            <w:tcW w:type="dxa" w:w="1728"/>
          </w:tcPr>
          <w:p>
            <w:r/>
            <w:r>
              <w:rPr>
                <w:rFonts w:ascii="Arial" w:hAnsi="Arial"/>
                <w:b w:val="0"/>
                <w:sz w:val="16"/>
              </w:rPr>
              <w:t>[ ]</w:t>
            </w:r>
          </w:p>
        </w:tc>
        <w:tc>
          <w:tcPr>
            <w:tcW w:type="dxa" w:w="1728"/>
          </w:tcPr>
          <w:p>
            <w:r/>
            <w:r>
              <w:rPr>
                <w:rFonts w:ascii="Arial" w:hAnsi="Arial"/>
                <w:b w:val="0"/>
                <w:sz w:val="16"/>
              </w:rPr>
              <w:t>[ ]</w:t>
            </w:r>
          </w:p>
        </w:tc>
        <w:tc>
          <w:tcPr>
            <w:tcW w:type="dxa" w:w="1296"/>
            <w:shd w:val="clear" w:fill="E08A2B"/>
          </w:tcPr>
          <w:p>
            <w:pPr>
              <w:jc w:val="center"/>
            </w:pPr>
            <w:r/>
            <w:r>
              <w:rPr>
                <w:rFonts w:ascii="Arial" w:hAnsi="Arial"/>
                <w:b/>
                <w:color w:val="FFFFFF"/>
                <w:sz w:val="16"/>
              </w:rPr>
              <w:t>Amber</w:t>
            </w:r>
          </w:p>
        </w:tc>
      </w:tr>
    </w:tbl>
    <w:p>
      <w:pPr>
        <w:pStyle w:val="Heading2"/>
      </w:pPr>
      <w:r>
        <w:t>5. Risks, Issues &amp; Actions</w:t>
      </w:r>
    </w:p>
    <w:tbl>
      <w:tblPr>
        <w:tblStyle w:val="TableGrid"/>
        <w:tblW w:type="auto" w:w="0"/>
        <w:jc w:val="center"/>
        <w:tblLook w:firstColumn="1" w:firstRow="1" w:lastColumn="0" w:lastRow="0" w:noHBand="0" w:noVBand="1" w:val="04A0"/>
      </w:tblPr>
      <w:tblGrid>
        <w:gridCol w:w="3264"/>
        <w:gridCol w:w="3264"/>
        <w:gridCol w:w="3264"/>
      </w:tblGrid>
      <w:tr>
        <w:tc>
          <w:tcPr>
            <w:tcW w:type="dxa" w:w="5760"/>
            <w:shd w:val="clear" w:fill="1B4D89"/>
          </w:tcPr>
          <w:p>
            <w:r/>
            <w:r>
              <w:rPr>
                <w:rFonts w:ascii="Arial" w:hAnsi="Arial"/>
                <w:b/>
                <w:color w:val="FFFFFF"/>
                <w:sz w:val="16"/>
              </w:rPr>
              <w:t>Item</w:t>
            </w:r>
          </w:p>
        </w:tc>
        <w:tc>
          <w:tcPr>
            <w:tcW w:type="dxa" w:w="2592"/>
            <w:shd w:val="clear" w:fill="1B4D89"/>
          </w:tcPr>
          <w:p>
            <w:r/>
            <w:r>
              <w:rPr>
                <w:rFonts w:ascii="Arial" w:hAnsi="Arial"/>
                <w:b/>
                <w:color w:val="FFFFFF"/>
                <w:sz w:val="16"/>
              </w:rPr>
              <w:t>Owner</w:t>
            </w:r>
          </w:p>
        </w:tc>
        <w:tc>
          <w:tcPr>
            <w:tcW w:type="dxa" w:w="3168"/>
            <w:shd w:val="clear" w:fill="1B4D89"/>
          </w:tcPr>
          <w:p>
            <w:r/>
            <w:r>
              <w:rPr>
                <w:rFonts w:ascii="Arial" w:hAnsi="Arial"/>
                <w:b/>
                <w:color w:val="FFFFFF"/>
                <w:sz w:val="16"/>
              </w:rPr>
              <w:t>Status</w:t>
            </w:r>
          </w:p>
        </w:tc>
      </w:tr>
      <w:tr>
        <w:tc>
          <w:tcPr>
            <w:tcW w:type="dxa" w:w="5760"/>
          </w:tcPr>
          <w:p>
            <w:r/>
            <w:r>
              <w:rPr>
                <w:rFonts w:ascii="Arial" w:hAnsi="Arial"/>
                <w:b w:val="0"/>
                <w:sz w:val="16"/>
              </w:rPr>
              <w:t>[risk/issue 1]</w:t>
            </w:r>
          </w:p>
        </w:tc>
        <w:tc>
          <w:tcPr>
            <w:tcW w:type="dxa" w:w="2592"/>
          </w:tcPr>
          <w:p>
            <w:r/>
            <w:r>
              <w:rPr>
                <w:rFonts w:ascii="Arial" w:hAnsi="Arial"/>
                <w:b w:val="0"/>
                <w:sz w:val="16"/>
              </w:rPr>
              <w:t>[owner]</w:t>
            </w:r>
          </w:p>
        </w:tc>
        <w:tc>
          <w:tcPr>
            <w:tcW w:type="dxa" w:w="3168"/>
          </w:tcPr>
          <w:p>
            <w:r/>
            <w:r>
              <w:rPr>
                <w:rFonts w:ascii="Arial" w:hAnsi="Arial"/>
                <w:b w:val="0"/>
                <w:sz w:val="16"/>
              </w:rPr>
              <w:t>[status]</w:t>
            </w:r>
          </w:p>
        </w:tc>
      </w:tr>
      <w:tr>
        <w:tc>
          <w:tcPr>
            <w:tcW w:type="dxa" w:w="5760"/>
            <w:shd w:val="clear" w:fill="F4F7FB"/>
          </w:tcPr>
          <w:p>
            <w:r/>
            <w:r>
              <w:rPr>
                <w:rFonts w:ascii="Arial" w:hAnsi="Arial"/>
                <w:b w:val="0"/>
                <w:sz w:val="16"/>
              </w:rPr>
              <w:t>[risk/issue 2]</w:t>
            </w:r>
          </w:p>
        </w:tc>
        <w:tc>
          <w:tcPr>
            <w:tcW w:type="dxa" w:w="2592"/>
            <w:shd w:val="clear" w:fill="F4F7FB"/>
          </w:tcPr>
          <w:p>
            <w:r/>
            <w:r>
              <w:rPr>
                <w:rFonts w:ascii="Arial" w:hAnsi="Arial"/>
                <w:b w:val="0"/>
                <w:sz w:val="16"/>
              </w:rPr>
              <w:t>[owner]</w:t>
            </w:r>
          </w:p>
        </w:tc>
        <w:tc>
          <w:tcPr>
            <w:tcW w:type="dxa" w:w="3168"/>
            <w:shd w:val="clear" w:fill="F4F7FB"/>
          </w:tcPr>
          <w:p>
            <w:r/>
            <w:r>
              <w:rPr>
                <w:rFonts w:ascii="Arial" w:hAnsi="Arial"/>
                <w:b w:val="0"/>
                <w:sz w:val="16"/>
              </w:rPr>
              <w:t>[status]</w:t>
            </w:r>
          </w:p>
        </w:tc>
      </w:tr>
    </w:tbl>
    <w:p>
      <w:pPr>
        <w:pStyle w:val="Heading2"/>
      </w:pPr>
      <w:r>
        <w:t>6. Outlook</w:t>
      </w:r>
    </w:p>
    <w:p>
      <w:r>
        <w:rPr>
          <w:b w:val="0"/>
          <w:i w:val="0"/>
          <w:sz w:val="20"/>
        </w:rPr>
        <w:t>[Reforecast, key assumptions and watch items for next month.]</w:t>
      </w:r>
    </w:p>
    <w:p>
      <w:pPr>
        <w:pStyle w:val="Heading2"/>
      </w:pPr>
      <w:r>
        <w:t>Notes &amp; Disclaimer</w:t>
      </w:r>
    </w:p>
    <w:p>
      <w:r>
        <w:rPr>
          <w:b w:val="0"/>
          <w:i/>
          <w:sz w:val="18"/>
        </w:rPr>
        <w:t>This resource is a professional finance management template, not accounting, tax, legal or financial advice. Calibrate frameworks, KPIs, thresholds and figures to your organisation and confirm accounting, tax and regulatory specifics against current applicable standards and law and professional counsel. Bracketed fields [like this] and sample figures are editable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