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Corporate Governance Toolkit™</w:t>
      </w:r>
    </w:p>
    <w:p>
      <w:pPr>
        <w:jc w:val="center"/>
      </w:pPr>
      <w:r>
        <w:rPr>
          <w:color w:val="C97B2C"/>
          <w:sz w:val="26"/>
        </w:rPr>
        <w:t>Stand up a complete, code-aligned governance system</w:t>
      </w:r>
    </w:p>
    <w:p/>
    <w:p/>
    <w:p>
      <w:pPr>
        <w:jc w:val="center"/>
      </w:pPr>
      <w:r>
        <w:rPr>
          <w:color w:val="555555"/>
          <w:sz w:val="20"/>
        </w:rPr>
        <w:t>Board / Company Secretary / Governance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Full Guide</w:t>
      </w:r>
    </w:p>
    <w:p>
      <w:r>
        <w:rPr>
          <w:b w:val="0"/>
          <w:i w:val="0"/>
          <w:sz w:val="20"/>
        </w:rPr>
        <w:t>This toolkit gives boards and company secretaries the structure, charters, policies and reporting to establish or upgrade a complete corporate-governance system aligned to the NCCG 2018 and CAMA, with the operating model and calendar to sustain it.</w:t>
      </w:r>
    </w:p>
    <w:p>
      <w:pPr>
        <w:pStyle w:val="Heading2"/>
      </w:pPr>
      <w:r>
        <w:t>Operating lifecycle</w:t>
      </w:r>
    </w:p>
    <w:p>
      <w:pPr>
        <w:pStyle w:val="ListNumber"/>
      </w:pPr>
      <w:r>
        <w:rPr>
          <w:sz w:val="19"/>
        </w:rPr>
        <w:t>Diagnose — assess governance maturity and code alignment</w:t>
      </w:r>
    </w:p>
    <w:p>
      <w:pPr>
        <w:pStyle w:val="ListNumber"/>
      </w:pPr>
      <w:r>
        <w:rPr>
          <w:sz w:val="19"/>
        </w:rPr>
        <w:t>Design — governance operating model, board, committees, policies</w:t>
      </w:r>
    </w:p>
    <w:p>
      <w:pPr>
        <w:pStyle w:val="ListNumber"/>
      </w:pPr>
      <w:r>
        <w:rPr>
          <w:sz w:val="19"/>
        </w:rPr>
        <w:t>Build — charters, delegation, policies and the calendar</w:t>
      </w:r>
    </w:p>
    <w:p>
      <w:pPr>
        <w:pStyle w:val="ListNumber"/>
      </w:pPr>
      <w:r>
        <w:rPr>
          <w:sz w:val="19"/>
        </w:rPr>
        <w:t>Embed — induction, culture, meeting cadence</w:t>
      </w:r>
    </w:p>
    <w:p>
      <w:pPr>
        <w:pStyle w:val="ListNumber"/>
      </w:pPr>
      <w:r>
        <w:rPr>
          <w:sz w:val="19"/>
        </w:rPr>
        <w:t>Assure — monitor, evaluate and report</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non-compliant</w:t>
            </w:r>
          </w:p>
        </w:tc>
        <w:tc>
          <w:tcPr>
            <w:tcW w:type="dxa" w:w="2232"/>
          </w:tcPr>
          <w:p>
            <w:r/>
            <w:r>
              <w:rPr>
                <w:rFonts w:ascii="Arial" w:hAnsi="Arial"/>
                <w:b w:val="0"/>
                <w:sz w:val="16"/>
              </w:rPr>
              <w:t>Basic, inconsistent</w:t>
            </w:r>
          </w:p>
        </w:tc>
        <w:tc>
          <w:tcPr>
            <w:tcW w:type="dxa" w:w="2232"/>
          </w:tcPr>
          <w:p>
            <w:r/>
            <w:r>
              <w:rPr>
                <w:rFonts w:ascii="Arial" w:hAnsi="Arial"/>
                <w:b w:val="0"/>
                <w:sz w:val="16"/>
              </w:rPr>
              <w:t>Code-aligned &amp; consistent</w:t>
            </w:r>
          </w:p>
        </w:tc>
        <w:tc>
          <w:tcPr>
            <w:tcW w:type="dxa" w:w="2232"/>
          </w:tcPr>
          <w:p>
            <w:r/>
            <w:r>
              <w:rPr>
                <w:rFonts w:ascii="Arial" w:hAnsi="Arial"/>
                <w:b w:val="0"/>
                <w:sz w:val="16"/>
              </w:rPr>
              <w:t>Measured &amp; assured</w:t>
            </w:r>
          </w:p>
        </w:tc>
        <w:tc>
          <w:tcPr>
            <w:tcW w:type="dxa" w:w="2232"/>
          </w:tcPr>
          <w:p>
            <w:r/>
            <w:r>
              <w:rPr>
                <w:rFonts w:ascii="Arial" w:hAnsi="Arial"/>
                <w:b w:val="0"/>
                <w:sz w:val="16"/>
              </w:rPr>
              <w:t>Leading-practice &amp; value-creating</w:t>
            </w:r>
          </w:p>
        </w:tc>
      </w:tr>
    </w:tbl>
    <w:p>
      <w:pPr>
        <w:pStyle w:val="Heading2"/>
      </w:pPr>
      <w:r>
        <w:t>Key components</w:t>
      </w:r>
    </w:p>
    <w:p>
      <w:pPr>
        <w:pStyle w:val="ListBullet"/>
      </w:pPr>
      <w:r>
        <w:rPr>
          <w:sz w:val="19"/>
        </w:rPr>
        <w:t>Governance structure and board</w:t>
      </w:r>
    </w:p>
    <w:p>
      <w:pPr>
        <w:pStyle w:val="ListBullet"/>
      </w:pPr>
      <w:r>
        <w:rPr>
          <w:sz w:val="19"/>
        </w:rPr>
        <w:t>Committees and delegation</w:t>
      </w:r>
    </w:p>
    <w:p>
      <w:pPr>
        <w:pStyle w:val="ListBullet"/>
      </w:pPr>
      <w:r>
        <w:rPr>
          <w:sz w:val="19"/>
        </w:rPr>
        <w:t>Roles and responsibilities</w:t>
      </w:r>
    </w:p>
    <w:p>
      <w:pPr>
        <w:pStyle w:val="ListBullet"/>
      </w:pPr>
      <w:r>
        <w:rPr>
          <w:sz w:val="19"/>
        </w:rPr>
        <w:t>Policies and charters</w:t>
      </w:r>
    </w:p>
    <w:p>
      <w:pPr>
        <w:pStyle w:val="ListBullet"/>
      </w:pPr>
      <w:r>
        <w:rPr>
          <w:sz w:val="19"/>
        </w:rPr>
        <w:t>Disclosure and reporting</w:t>
      </w:r>
    </w:p>
    <w:p>
      <w:pPr>
        <w:pStyle w:val="ListBullet"/>
      </w:pPr>
      <w:r>
        <w:rPr>
          <w:sz w:val="19"/>
        </w:rPr>
        <w:t>Assurance and monitoring</w:t>
      </w:r>
    </w:p>
    <w:p>
      <w:pPr>
        <w:pStyle w:val="Heading1"/>
      </w:pPr>
      <w:r>
        <w:t>2. Templates &amp; Contents</w:t>
      </w:r>
    </w:p>
    <w:p>
      <w:pPr>
        <w:pStyle w:val="Heading3"/>
      </w:pPr>
      <w:r>
        <w:t>Board charter template</w:t>
      </w:r>
    </w:p>
    <w:p>
      <w:r>
        <w:rPr>
          <w:b w:val="0"/>
          <w:i w:val="0"/>
          <w:sz w:val="19"/>
        </w:rPr>
        <w:t>The board's mandate, composition, roles and operation (supplied as a standalone board resource).</w:t>
      </w:r>
    </w:p>
    <w:p>
      <w:pPr>
        <w:pStyle w:val="Heading3"/>
      </w:pPr>
      <w:r>
        <w:t>Governance operating model</w:t>
      </w:r>
    </w:p>
    <w:p>
      <w:r>
        <w:rPr>
          <w:b w:val="0"/>
          <w:i w:val="0"/>
          <w:sz w:val="19"/>
        </w:rPr>
        <w:t>How governance is structured and run end-to-end.</w:t>
      </w:r>
    </w:p>
    <w:p>
      <w:pPr>
        <w:pStyle w:val="Heading3"/>
      </w:pPr>
      <w:r>
        <w:t>Delegation of authority matrix</w:t>
      </w:r>
    </w:p>
    <w:p>
      <w:r>
        <w:rPr>
          <w:b w:val="0"/>
          <w:i w:val="0"/>
          <w:sz w:val="19"/>
        </w:rPr>
        <w:t>Decision rights from board to management.</w:t>
      </w:r>
    </w:p>
    <w:p>
      <w:pPr>
        <w:pStyle w:val="Heading3"/>
      </w:pPr>
      <w:r>
        <w:t>Governance policy templates pack</w:t>
      </w:r>
    </w:p>
    <w:p>
      <w:r>
        <w:rPr>
          <w:b w:val="0"/>
          <w:i w:val="0"/>
          <w:sz w:val="19"/>
        </w:rPr>
        <w:t>Core governance policies to adopt and tailor.</w:t>
      </w:r>
    </w:p>
    <w:p>
      <w:pPr>
        <w:pStyle w:val="Heading3"/>
      </w:pPr>
      <w:r>
        <w:t>Governance calendar</w:t>
      </w:r>
    </w:p>
    <w:p>
      <w:r>
        <w:rPr>
          <w:b w:val="0"/>
          <w:i w:val="0"/>
          <w:sz w:val="19"/>
        </w:rPr>
        <w:t>Annual cycle of board, committee and compliance activities.</w:t>
      </w:r>
    </w:p>
    <w:p>
      <w:pPr>
        <w:pStyle w:val="Heading3"/>
      </w:pPr>
      <w:r>
        <w:t>Governance compliance checklist (NCCG 2018)</w:t>
      </w:r>
    </w:p>
    <w:p>
      <w:r>
        <w:rPr>
          <w:b w:val="0"/>
          <w:i w:val="0"/>
          <w:sz w:val="19"/>
        </w:rPr>
        <w:t>Self-check against code provisions on an apply-and-explain basis.</w:t>
      </w:r>
    </w:p>
    <w:p>
      <w:pPr>
        <w:pStyle w:val="Heading1"/>
      </w:pPr>
      <w:r>
        <w:t>3. Checklists</w:t>
      </w:r>
    </w:p>
    <w:p>
      <w:pPr>
        <w:ind w:left="288"/>
      </w:pPr>
      <w:r>
        <w:rPr>
          <w:sz w:val="19"/>
        </w:rPr>
        <w:t>☐  Board charter adopted and current</w:t>
      </w:r>
    </w:p>
    <w:p>
      <w:pPr>
        <w:ind w:left="288"/>
      </w:pPr>
      <w:r>
        <w:rPr>
          <w:sz w:val="19"/>
        </w:rPr>
        <w:t>☐  Committee structure and charters in place</w:t>
      </w:r>
    </w:p>
    <w:p>
      <w:pPr>
        <w:ind w:left="288"/>
      </w:pPr>
      <w:r>
        <w:rPr>
          <w:sz w:val="19"/>
        </w:rPr>
        <w:t>☐  Delegation of authority defined</w:t>
      </w:r>
    </w:p>
    <w:p>
      <w:pPr>
        <w:ind w:left="288"/>
      </w:pPr>
      <w:r>
        <w:rPr>
          <w:sz w:val="19"/>
        </w:rPr>
        <w:t>☐  Core governance policies adopted</w:t>
      </w:r>
    </w:p>
    <w:p>
      <w:pPr>
        <w:ind w:left="288"/>
      </w:pPr>
      <w:r>
        <w:rPr>
          <w:sz w:val="19"/>
        </w:rPr>
        <w:t>☐  Governance calendar operating</w:t>
      </w:r>
    </w:p>
    <w:p>
      <w:pPr>
        <w:ind w:left="288"/>
      </w:pPr>
      <w:r>
        <w:rPr>
          <w:sz w:val="19"/>
        </w:rPr>
        <w:t>☐  Apply-and-explain compliance position documented</w:t>
      </w:r>
    </w:p>
    <w:p>
      <w:pPr>
        <w:ind w:left="288"/>
      </w:pPr>
      <w:r>
        <w:rPr>
          <w:sz w:val="19"/>
        </w:rPr>
        <w:t>☐  Company secretary function effective</w:t>
      </w:r>
    </w:p>
    <w:p>
      <w:pPr>
        <w:ind w:left="288"/>
      </w:pPr>
      <w:r>
        <w:rPr>
          <w:sz w:val="19"/>
        </w:rPr>
        <w:t>☐  Governance reporting reaching the board</w:t>
      </w:r>
    </w:p>
    <w:p>
      <w:pPr>
        <w:pStyle w:val="Heading2"/>
      </w:pPr>
      <w:r>
        <w:t>Governance Structure</w:t>
      </w:r>
    </w:p>
    <w:p>
      <w:r>
        <w:rPr>
          <w:b w:val="0"/>
          <w:i w:val="0"/>
          <w:sz w:val="20"/>
        </w:rPr>
        <w:t>Governance operates under clear board accountability, aligned to NCCG 2018 and CAMA:</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Layer</w:t>
            </w:r>
          </w:p>
        </w:tc>
        <w:tc>
          <w:tcPr>
            <w:tcW w:type="dxa" w:w="8352"/>
            <w:shd w:val="clear" w:fill="1B4D89"/>
          </w:tcPr>
          <w:p>
            <w:r/>
            <w:r>
              <w:rPr>
                <w:rFonts w:ascii="Arial" w:hAnsi="Arial"/>
                <w:b/>
                <w:color w:val="FFFFFF"/>
                <w:sz w:val="16"/>
              </w:rPr>
              <w:t>Role</w:t>
            </w:r>
          </w:p>
        </w:tc>
      </w:tr>
      <w:tr>
        <w:tc>
          <w:tcPr>
            <w:tcW w:type="dxa" w:w="3168"/>
          </w:tcPr>
          <w:p>
            <w:r/>
            <w:r>
              <w:rPr>
                <w:rFonts w:ascii="Arial" w:hAnsi="Arial"/>
                <w:b w:val="0"/>
                <w:sz w:val="16"/>
              </w:rPr>
              <w:t>Board</w:t>
            </w:r>
          </w:p>
        </w:tc>
        <w:tc>
          <w:tcPr>
            <w:tcW w:type="dxa" w:w="8352"/>
          </w:tcPr>
          <w:p>
            <w:r/>
            <w:r>
              <w:rPr>
                <w:rFonts w:ascii="Arial" w:hAnsi="Arial"/>
                <w:b w:val="0"/>
                <w:sz w:val="16"/>
              </w:rPr>
              <w:t>Accountable for governance; sets direction, approves policy, oversees</w:t>
            </w:r>
          </w:p>
        </w:tc>
      </w:tr>
      <w:tr>
        <w:tc>
          <w:tcPr>
            <w:tcW w:type="dxa" w:w="3168"/>
            <w:shd w:val="clear" w:fill="F4F7FB"/>
          </w:tcPr>
          <w:p>
            <w:r/>
            <w:r>
              <w:rPr>
                <w:rFonts w:ascii="Arial" w:hAnsi="Arial"/>
                <w:b w:val="0"/>
                <w:sz w:val="16"/>
              </w:rPr>
              <w:t>Board committees</w:t>
            </w:r>
          </w:p>
        </w:tc>
        <w:tc>
          <w:tcPr>
            <w:tcW w:type="dxa" w:w="8352"/>
            <w:shd w:val="clear" w:fill="F4F7FB"/>
          </w:tcPr>
          <w:p>
            <w:r/>
            <w:r>
              <w:rPr>
                <w:rFonts w:ascii="Arial" w:hAnsi="Arial"/>
                <w:b w:val="0"/>
                <w:sz w:val="16"/>
              </w:rPr>
              <w:t>Audit, risk, remuneration, nomination/governance — focused oversight</w:t>
            </w:r>
          </w:p>
        </w:tc>
      </w:tr>
      <w:tr>
        <w:tc>
          <w:tcPr>
            <w:tcW w:type="dxa" w:w="3168"/>
          </w:tcPr>
          <w:p>
            <w:r/>
            <w:r>
              <w:rPr>
                <w:rFonts w:ascii="Arial" w:hAnsi="Arial"/>
                <w:b w:val="0"/>
                <w:sz w:val="16"/>
              </w:rPr>
              <w:t>Chair</w:t>
            </w:r>
          </w:p>
        </w:tc>
        <w:tc>
          <w:tcPr>
            <w:tcW w:type="dxa" w:w="8352"/>
          </w:tcPr>
          <w:p>
            <w:r/>
            <w:r>
              <w:rPr>
                <w:rFonts w:ascii="Arial" w:hAnsi="Arial"/>
                <w:b w:val="0"/>
                <w:sz w:val="16"/>
              </w:rPr>
              <w:t>Leads the board; ensures effectiveness</w:t>
            </w:r>
          </w:p>
        </w:tc>
      </w:tr>
      <w:tr>
        <w:tc>
          <w:tcPr>
            <w:tcW w:type="dxa" w:w="3168"/>
            <w:shd w:val="clear" w:fill="F4F7FB"/>
          </w:tcPr>
          <w:p>
            <w:r/>
            <w:r>
              <w:rPr>
                <w:rFonts w:ascii="Arial" w:hAnsi="Arial"/>
                <w:b w:val="0"/>
                <w:sz w:val="16"/>
              </w:rPr>
              <w:t>Company secretary</w:t>
            </w:r>
          </w:p>
        </w:tc>
        <w:tc>
          <w:tcPr>
            <w:tcW w:type="dxa" w:w="8352"/>
            <w:shd w:val="clear" w:fill="F4F7FB"/>
          </w:tcPr>
          <w:p>
            <w:r/>
            <w:r>
              <w:rPr>
                <w:rFonts w:ascii="Arial" w:hAnsi="Arial"/>
                <w:b w:val="0"/>
                <w:sz w:val="16"/>
              </w:rPr>
              <w:t>Enables governance; advises the board; maintains records</w:t>
            </w:r>
          </w:p>
        </w:tc>
      </w:tr>
      <w:tr>
        <w:tc>
          <w:tcPr>
            <w:tcW w:type="dxa" w:w="3168"/>
          </w:tcPr>
          <w:p>
            <w:r/>
            <w:r>
              <w:rPr>
                <w:rFonts w:ascii="Arial" w:hAnsi="Arial"/>
                <w:b w:val="0"/>
                <w:sz w:val="16"/>
              </w:rPr>
              <w:t>Management</w:t>
            </w:r>
          </w:p>
        </w:tc>
        <w:tc>
          <w:tcPr>
            <w:tcW w:type="dxa" w:w="8352"/>
          </w:tcPr>
          <w:p>
            <w:r/>
            <w:r>
              <w:rPr>
                <w:rFonts w:ascii="Arial" w:hAnsi="Arial"/>
                <w:b w:val="0"/>
                <w:sz w:val="16"/>
              </w:rPr>
              <w:t>Implements; provides information and assurance</w:t>
            </w:r>
          </w:p>
        </w:tc>
      </w:tr>
      <w:tr>
        <w:tc>
          <w:tcPr>
            <w:tcW w:type="dxa" w:w="3168"/>
            <w:shd w:val="clear" w:fill="F4F7FB"/>
          </w:tcPr>
          <w:p>
            <w:r/>
            <w:r>
              <w:rPr>
                <w:rFonts w:ascii="Arial" w:hAnsi="Arial"/>
                <w:b w:val="0"/>
                <w:sz w:val="16"/>
              </w:rPr>
              <w:t>Internal audit</w:t>
            </w:r>
          </w:p>
        </w:tc>
        <w:tc>
          <w:tcPr>
            <w:tcW w:type="dxa" w:w="8352"/>
            <w:shd w:val="clear" w:fill="F4F7FB"/>
          </w:tcPr>
          <w:p>
            <w:r/>
            <w:r>
              <w:rPr>
                <w:rFonts w:ascii="Arial" w:hAnsi="Arial"/>
                <w:b w:val="0"/>
                <w:sz w:val="16"/>
              </w:rPr>
              <w:t>Independent assurance over governance, risk and control</w:t>
            </w:r>
          </w:p>
        </w:tc>
      </w:tr>
    </w:tbl>
    <w:p>
      <w:pPr>
        <w:pStyle w:val="Heading2"/>
      </w:pPr>
      <w:r>
        <w:t>Reporting Template</w:t>
      </w:r>
    </w:p>
    <w:p>
      <w:r>
        <w:rPr>
          <w:b w:val="0"/>
          <w:i w:val="0"/>
          <w:sz w:val="19"/>
        </w:rPr>
        <w:t>Standard report: executive summary · status vs target (RAG) · key metrics · issues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Governance maturity index</w:t>
            </w:r>
          </w:p>
        </w:tc>
        <w:tc>
          <w:tcPr>
            <w:tcW w:type="dxa" w:w="1440"/>
          </w:tcPr>
          <w:p>
            <w:r/>
            <w:r>
              <w:rPr>
                <w:rFonts w:ascii="Arial" w:hAnsi="Arial"/>
                <w:b w:val="0"/>
                <w:sz w:val="16"/>
              </w:rPr>
              <w:t>62</w:t>
            </w:r>
          </w:p>
        </w:tc>
        <w:tc>
          <w:tcPr>
            <w:tcW w:type="dxa" w:w="1728"/>
          </w:tcPr>
          <w:p>
            <w:r/>
            <w:r>
              <w:rPr>
                <w:rFonts w:ascii="Arial" w:hAnsi="Arial"/>
                <w:b w:val="0"/>
                <w:sz w:val="16"/>
              </w:rPr>
              <w:t>Improving</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code-alignment gaps</w:t>
            </w:r>
          </w:p>
        </w:tc>
      </w:tr>
      <w:tr>
        <w:tc>
          <w:tcPr>
            <w:tcW w:type="dxa" w:w="2880"/>
            <w:shd w:val="clear" w:fill="F4F7FB"/>
          </w:tcPr>
          <w:p>
            <w:r/>
            <w:r>
              <w:rPr>
                <w:rFonts w:ascii="Arial" w:hAnsi="Arial"/>
                <w:b w:val="0"/>
                <w:sz w:val="16"/>
              </w:rPr>
              <w:t>Code compliance</w:t>
            </w:r>
          </w:p>
        </w:tc>
        <w:tc>
          <w:tcPr>
            <w:tcW w:type="dxa" w:w="1440"/>
            <w:shd w:val="clear" w:fill="F4F7FB"/>
          </w:tcPr>
          <w:p>
            <w:r/>
            <w:r>
              <w:rPr>
                <w:rFonts w:ascii="Arial" w:hAnsi="Arial"/>
                <w:b w:val="0"/>
                <w:sz w:val="16"/>
              </w:rPr>
              <w:t>98%</w:t>
            </w:r>
          </w:p>
        </w:tc>
        <w:tc>
          <w:tcPr>
            <w:tcW w:type="dxa" w:w="1728"/>
            <w:shd w:val="clear" w:fill="F4F7FB"/>
          </w:tcPr>
          <w:p>
            <w:r/>
            <w:r>
              <w:rPr>
                <w:rFonts w:ascii="Arial" w:hAnsi="Arial"/>
                <w:b w:val="0"/>
                <w:sz w:val="16"/>
              </w:rPr>
              <w:t>100%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Address outstanding provisions</w:t>
            </w:r>
          </w:p>
        </w:tc>
      </w:tr>
      <w:tr>
        <w:tc>
          <w:tcPr>
            <w:tcW w:type="dxa" w:w="2880"/>
          </w:tcPr>
          <w:p>
            <w:r/>
            <w:r>
              <w:rPr>
                <w:rFonts w:ascii="Arial" w:hAnsi="Arial"/>
                <w:b w:val="0"/>
                <w:sz w:val="16"/>
              </w:rPr>
              <w:t>Policies current</w:t>
            </w:r>
          </w:p>
        </w:tc>
        <w:tc>
          <w:tcPr>
            <w:tcW w:type="dxa" w:w="1440"/>
          </w:tcPr>
          <w:p>
            <w:r/>
            <w:r>
              <w:rPr>
                <w:rFonts w:ascii="Arial" w:hAnsi="Arial"/>
                <w:b w:val="0"/>
                <w:sz w:val="16"/>
              </w:rPr>
              <w:t>85%</w:t>
            </w:r>
          </w:p>
        </w:tc>
        <w:tc>
          <w:tcPr>
            <w:tcW w:type="dxa" w:w="1728"/>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Refresh remaining policies</w:t>
            </w:r>
          </w:p>
        </w:tc>
      </w:tr>
      <w:tr>
        <w:tc>
          <w:tcPr>
            <w:tcW w:type="dxa" w:w="2880"/>
            <w:shd w:val="clear" w:fill="F4F7FB"/>
          </w:tcPr>
          <w:p>
            <w:r/>
            <w:r>
              <w:rPr>
                <w:rFonts w:ascii="Arial" w:hAnsi="Arial"/>
                <w:b w:val="0"/>
                <w:sz w:val="16"/>
              </w:rPr>
              <w:t>Open governance actions</w:t>
            </w:r>
          </w:p>
        </w:tc>
        <w:tc>
          <w:tcPr>
            <w:tcW w:type="dxa" w:w="1440"/>
            <w:shd w:val="clear" w:fill="F4F7FB"/>
          </w:tcPr>
          <w:p>
            <w:r/>
            <w:r>
              <w:rPr>
                <w:rFonts w:ascii="Arial" w:hAnsi="Arial"/>
                <w:b w:val="0"/>
                <w:sz w:val="16"/>
              </w:rPr>
              <w:t>3</w:t>
            </w:r>
          </w:p>
        </w:tc>
        <w:tc>
          <w:tcPr>
            <w:tcW w:type="dxa" w:w="1728"/>
            <w:shd w:val="clear" w:fill="F4F7FB"/>
          </w:tcPr>
          <w:p>
            <w:r/>
            <w:r>
              <w:rPr>
                <w:rFonts w:ascii="Arial" w:hAnsi="Arial"/>
                <w:b w:val="0"/>
                <w:sz w:val="16"/>
              </w:rPr>
              <w:t>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Close overdue actions</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Governance system</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Defined and largely code-aligned; gaps closing</w:t>
            </w:r>
          </w:p>
        </w:tc>
      </w:tr>
      <w:tr>
        <w:tc>
          <w:tcPr>
            <w:tcW w:type="dxa" w:w="2736"/>
            <w:shd w:val="clear" w:fill="F4F7FB"/>
          </w:tcPr>
          <w:p>
            <w:r/>
            <w:r>
              <w:rPr>
                <w:rFonts w:ascii="Arial" w:hAnsi="Arial"/>
                <w:b w:val="0"/>
                <w:sz w:val="16"/>
              </w:rPr>
              <w:t>Compliance</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98% applied/explained against NCCG 2018</w:t>
            </w:r>
          </w:p>
        </w:tc>
      </w:tr>
      <w:tr>
        <w:tc>
          <w:tcPr>
            <w:tcW w:type="dxa" w:w="2736"/>
          </w:tcPr>
          <w:p>
            <w:r/>
            <w:r>
              <w:rPr>
                <w:rFonts w:ascii="Arial" w:hAnsi="Arial"/>
                <w:b w:val="0"/>
                <w:sz w:val="16"/>
              </w:rPr>
              <w:t>Risk</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A few policies pending refresh</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refreshed policy suite</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