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Investment Policy Statement</w:t>
      </w:r>
    </w:p>
    <w:p>
      <w:r>
        <w:rPr>
          <w:rFonts w:ascii="Arial" w:hAnsi="Arial"/>
          <w:b/>
          <w:sz w:val="22"/>
        </w:rPr>
        <w:t>Policy · Treasury Policy · Professional tier</w:t>
      </w:r>
    </w:p>
    <w:p>
      <w:r>
        <w:rPr>
          <w:rFonts w:ascii="Arial" w:hAnsi="Arial"/>
          <w:sz w:val="22"/>
        </w:rPr>
        <w:t>Investment policy for surplus cash — preservation, liquidity, then yield.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Sets out approved instruments, counterparty tiers, concentration limits, tenor caps and reporting requirements for surplus-cash investment.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ListBullet"/>
      </w:pPr>
      <w:r>
        <w:rPr>
          <w:rFonts w:ascii="Arial" w:hAnsi="Arial"/>
          <w:sz w:val="22"/>
        </w:rPr>
        <w:t>Investment Committee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policy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Confirm board sponsor and assign a policy owner (typically Group Treasurer or CFO).</w:t>
      </w:r>
    </w:p>
    <w:p>
      <w:pPr>
        <w:pStyle w:val="ListNumber"/>
      </w:pPr>
      <w:r>
        <w:rPr>
          <w:rFonts w:ascii="Arial" w:hAnsi="Arial"/>
          <w:sz w:val="22"/>
        </w:rPr>
        <w:t>Tailor scope, definitions and risk appetite statements to the group's structure and currencies.</w:t>
      </w:r>
    </w:p>
    <w:p>
      <w:pPr>
        <w:pStyle w:val="ListNumber"/>
      </w:pPr>
      <w:r>
        <w:rPr>
          <w:rFonts w:ascii="Arial" w:hAnsi="Arial"/>
          <w:sz w:val="22"/>
        </w:rPr>
        <w:t>Populate delegated authorities, counterparty tiers, limits and instrument lists.</w:t>
      </w:r>
    </w:p>
    <w:p>
      <w:pPr>
        <w:pStyle w:val="ListNumber"/>
      </w:pPr>
      <w:r>
        <w:rPr>
          <w:rFonts w:ascii="Arial" w:hAnsi="Arial"/>
          <w:sz w:val="22"/>
        </w:rPr>
        <w:t>Circulate to Risk Committee for review and capture comments in a decision log.</w:t>
      </w:r>
    </w:p>
    <w:p>
      <w:pPr>
        <w:pStyle w:val="ListNumber"/>
      </w:pPr>
      <w:r>
        <w:rPr>
          <w:rFonts w:ascii="Arial" w:hAnsi="Arial"/>
          <w:sz w:val="22"/>
        </w:rPr>
        <w:t>Approve at the Board and publish to the policy register; communicate to all affected teams.</w:t>
      </w:r>
    </w:p>
    <w:p>
      <w:pPr>
        <w:pStyle w:val="ListNumber"/>
      </w:pPr>
      <w:r>
        <w:rPr>
          <w:rFonts w:ascii="Arial" w:hAnsi="Arial"/>
          <w:sz w:val="22"/>
        </w:rPr>
        <w:t>Embed in operational procedures, system controls and limit configurations.</w:t>
      </w:r>
    </w:p>
    <w:p>
      <w:pPr>
        <w:pStyle w:val="ListNumber"/>
      </w:pPr>
      <w:r>
        <w:rPr>
          <w:rFonts w:ascii="Arial" w:hAnsi="Arial"/>
          <w:sz w:val="22"/>
        </w:rPr>
        <w:t>Test compliance through internal audit and refresh annually or on material change.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Annual board review; immediate refresh on material change in regulation, capital structure or risk appetite.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Authority Limit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Approval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Review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Cash investment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NGN 5bn / counterparty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Quarterly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FX hedging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Head of FX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80% of forecast exposure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Risk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Monthly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Debt issuance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approved funding plan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Board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facility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Bank account opening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Pre-approved bank panel only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Approved instruments</w:t>
      </w:r>
    </w:p>
    <w:p>
      <w:pPr>
        <w:pStyle w:val="ListBullet"/>
      </w:pPr>
      <w:r>
        <w:rPr>
          <w:rFonts w:ascii="Arial" w:hAnsi="Arial"/>
          <w:sz w:val="22"/>
        </w:rPr>
        <w:t>Counterparty limits</w:t>
      </w:r>
    </w:p>
    <w:p>
      <w:pPr>
        <w:pStyle w:val="ListBullet"/>
      </w:pPr>
      <w:r>
        <w:rPr>
          <w:rFonts w:ascii="Arial" w:hAnsi="Arial"/>
          <w:sz w:val="22"/>
        </w:rPr>
        <w:t>Concentration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