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RISK MANAGEMENT CENTRE™</w:t>
      </w:r>
    </w:p>
    <w:p>
      <w:pPr>
        <w:jc w:val="center"/>
      </w:pPr>
      <w:r>
        <w:rPr>
          <w:b/>
          <w:color w:val="10243F"/>
          <w:sz w:val="52"/>
        </w:rPr>
        <w:t>Fraud Risk Toolkit™</w:t>
      </w:r>
    </w:p>
    <w:p>
      <w:pPr>
        <w:jc w:val="center"/>
      </w:pPr>
      <w:r>
        <w:rPr>
          <w:color w:val="C97B2C"/>
          <w:sz w:val="26"/>
        </w:rPr>
        <w:t>Prevent, detect and respond to fraud and financial crime</w:t>
      </w:r>
    </w:p>
    <w:p/>
    <w:p/>
    <w:p>
      <w:pPr>
        <w:jc w:val="center"/>
      </w:pPr>
      <w:r>
        <w:rPr>
          <w:color w:val="555555"/>
          <w:sz w:val="20"/>
        </w:rPr>
        <w:t>CFO / Internal Audit / Risk  ·  Access Tier T2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Fraud risk is the risk of loss from internal or external fraud, bribery and corruption. This toolkit builds an anti-fraud programme across the three pillars — prevent, detect, respond — supported by a speak-up culture and governance.</w:t>
      </w:r>
    </w:p>
    <w:p>
      <w:pPr>
        <w:pStyle w:val="Heading2"/>
      </w:pPr>
      <w:r>
        <w:t>The anti-fraud programme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Pillar</w:t>
            </w:r>
          </w:p>
        </w:tc>
        <w:tc>
          <w:tcPr>
            <w:tcW w:type="dxa" w:w="950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What it covers</w:t>
            </w:r>
          </w:p>
        </w:tc>
      </w:tr>
      <w:tr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Prevent</w:t>
            </w:r>
          </w:p>
        </w:tc>
        <w:tc>
          <w:tcPr>
            <w:tcW w:type="dxa" w:w="9504"/>
          </w:tcPr>
          <w:p>
            <w:r/>
            <w:r>
              <w:rPr>
                <w:rFonts w:ascii="Arial" w:hAnsi="Arial"/>
                <w:b w:val="0"/>
                <w:sz w:val="16"/>
              </w:rPr>
              <w:t>Fraud risk assessment, segregation of duties, approvals, vetting, awareness</w:t>
            </w:r>
          </w:p>
        </w:tc>
      </w:tr>
      <w:tr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Detect</w:t>
            </w:r>
          </w:p>
        </w:tc>
        <w:tc>
          <w:tcPr>
            <w:tcW w:type="dxa" w:w="95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Analytics, red-flags, reconciliations, whistleblowing channel</w:t>
            </w:r>
          </w:p>
        </w:tc>
      </w:tr>
      <w:tr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Respond</w:t>
            </w:r>
          </w:p>
        </w:tc>
        <w:tc>
          <w:tcPr>
            <w:tcW w:type="dxa" w:w="9504"/>
          </w:tcPr>
          <w:p>
            <w:r/>
            <w:r>
              <w:rPr>
                <w:rFonts w:ascii="Arial" w:hAnsi="Arial"/>
                <w:b w:val="0"/>
                <w:sz w:val="16"/>
              </w:rPr>
              <w:t>Investigation protocol, evidence handling, remediation, recovery</w:t>
            </w:r>
          </w:p>
        </w:tc>
      </w:tr>
    </w:tbl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Fragile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Functional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Disciplined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Strategic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Resilient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Informal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Basic, siloed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 &amp; governed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Integrated &amp; quantified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Predictive &amp; embedded</w:t>
            </w:r>
          </w:p>
        </w:tc>
      </w:tr>
    </w:tbl>
    <w:p>
      <w:pPr>
        <w:pStyle w:val="Heading1"/>
      </w:pPr>
      <w:r>
        <w:t>2. Templates</w:t>
      </w:r>
    </w:p>
    <w:p>
      <w:pPr>
        <w:pStyle w:val="Heading2"/>
      </w:pPr>
      <w:r>
        <w:t>2.1 Fraud risk taxonomy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16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Scheme</w:t>
            </w:r>
          </w:p>
        </w:tc>
        <w:tc>
          <w:tcPr>
            <w:tcW w:type="dxa" w:w="83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Examples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Asset misappropriation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6"/>
              </w:rPr>
              <w:t>Theft, skimming, fake vendors</w:t>
            </w:r>
          </w:p>
        </w:tc>
      </w:tr>
      <w:tr>
        <w:tc>
          <w:tcPr>
            <w:tcW w:type="dxa" w:w="316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Procurement fraud</w:t>
            </w:r>
          </w:p>
        </w:tc>
        <w:tc>
          <w:tcPr>
            <w:tcW w:type="dxa" w:w="835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Collusion, kickbacks, false invoicing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Payroll fraud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6"/>
              </w:rPr>
              <w:t>Ghost workers, inflated claims</w:t>
            </w:r>
          </w:p>
        </w:tc>
      </w:tr>
      <w:tr>
        <w:tc>
          <w:tcPr>
            <w:tcW w:type="dxa" w:w="316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Financial statement fraud</w:t>
            </w:r>
          </w:p>
        </w:tc>
        <w:tc>
          <w:tcPr>
            <w:tcW w:type="dxa" w:w="835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Manipulated reporting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Bribery &amp; corruption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6"/>
              </w:rPr>
              <w:t>Improper inducements</w:t>
            </w:r>
          </w:p>
        </w:tc>
      </w:tr>
      <w:tr>
        <w:tc>
          <w:tcPr>
            <w:tcW w:type="dxa" w:w="316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Cyber-enabled fraud</w:t>
            </w:r>
          </w:p>
        </w:tc>
        <w:tc>
          <w:tcPr>
            <w:tcW w:type="dxa" w:w="835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BEC, phishing, account takeover</w:t>
            </w:r>
          </w:p>
        </w:tc>
      </w:tr>
    </w:tbl>
    <w:p>
      <w:pPr>
        <w:pStyle w:val="Heading2"/>
      </w:pPr>
      <w:r>
        <w:t>2.2 Fraud risk register (structure + sample)</w:t>
      </w:r>
    </w:p>
    <w:p>
      <w:r>
        <w:rPr>
          <w:b w:val="0"/>
          <w:i w:val="0"/>
          <w:sz w:val="20"/>
        </w:rPr>
        <w:t>Working register: Fraud_Risk_Register.xlsx. Sample: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32"/>
        <w:gridCol w:w="1632"/>
        <w:gridCol w:w="1632"/>
        <w:gridCol w:w="1632"/>
        <w:gridCol w:w="1632"/>
        <w:gridCol w:w="1632"/>
      </w:tblGrid>
      <w:tr>
        <w:tc>
          <w:tcPr>
            <w:tcW w:type="dxa" w:w="100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ID</w:t>
            </w:r>
          </w:p>
        </w:tc>
        <w:tc>
          <w:tcPr>
            <w:tcW w:type="dxa" w:w="187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Scheme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Risk</w:t>
            </w:r>
          </w:p>
        </w:tc>
        <w:tc>
          <w:tcPr>
            <w:tcW w:type="dxa" w:w="100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Score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Rating</w:t>
            </w:r>
          </w:p>
        </w:tc>
        <w:tc>
          <w:tcPr>
            <w:tcW w:type="dxa" w:w="259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Key control</w:t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Arial" w:hAnsi="Arial"/>
                <w:b w:val="0"/>
                <w:sz w:val="16"/>
              </w:rPr>
              <w:t>FR-001</w:t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b w:val="0"/>
                <w:sz w:val="16"/>
              </w:rPr>
              <w:t>Procurement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Inflated invoices via collusion</w:t>
            </w:r>
          </w:p>
        </w:tc>
        <w:tc>
          <w:tcPr>
            <w:tcW w:type="dxa" w:w="1008"/>
          </w:tcPr>
          <w:p>
            <w:r/>
            <w:r>
              <w:rPr>
                <w:rFonts w:ascii="Arial" w:hAnsi="Arial"/>
                <w:b w:val="0"/>
                <w:sz w:val="16"/>
              </w:rPr>
              <w:t>12</w:t>
            </w:r>
          </w:p>
        </w:tc>
        <w:tc>
          <w:tcPr>
            <w:tcW w:type="dxa" w:w="1296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High</w:t>
            </w:r>
          </w:p>
        </w:tc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3-way match + analytics</w:t>
            </w:r>
          </w:p>
        </w:tc>
      </w:tr>
      <w:tr>
        <w:tc>
          <w:tcPr>
            <w:tcW w:type="dxa" w:w="10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FR-002</w:t>
            </w:r>
          </w:p>
        </w:tc>
        <w:tc>
          <w:tcPr>
            <w:tcW w:type="dxa" w:w="187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Cyber-enabled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BEC diverts payment</w:t>
            </w:r>
          </w:p>
        </w:tc>
        <w:tc>
          <w:tcPr>
            <w:tcW w:type="dxa" w:w="10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15</w:t>
            </w:r>
          </w:p>
        </w:tc>
        <w:tc>
          <w:tcPr>
            <w:tcW w:type="dxa" w:w="1296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Critical</w:t>
            </w:r>
          </w:p>
        </w:tc>
        <w:tc>
          <w:tcPr>
            <w:tcW w:type="dxa" w:w="25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Mandatory call-back</w:t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Arial" w:hAnsi="Arial"/>
                <w:b w:val="0"/>
                <w:sz w:val="16"/>
              </w:rPr>
              <w:t>FR-003</w:t>
            </w:r>
          </w:p>
        </w:tc>
        <w:tc>
          <w:tcPr>
            <w:tcW w:type="dxa" w:w="1872"/>
          </w:tcPr>
          <w:p>
            <w:r/>
            <w:r>
              <w:rPr>
                <w:rFonts w:ascii="Arial" w:hAnsi="Arial"/>
                <w:b w:val="0"/>
                <w:sz w:val="16"/>
              </w:rPr>
              <w:t>Payroll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Ghost workers</w:t>
            </w:r>
          </w:p>
        </w:tc>
        <w:tc>
          <w:tcPr>
            <w:tcW w:type="dxa" w:w="1008"/>
          </w:tcPr>
          <w:p>
            <w:r/>
            <w:r>
              <w:rPr>
                <w:rFonts w:ascii="Arial" w:hAnsi="Arial"/>
                <w:b w:val="0"/>
                <w:sz w:val="16"/>
              </w:rPr>
              <w:t>6</w:t>
            </w:r>
          </w:p>
        </w:tc>
        <w:tc>
          <w:tcPr>
            <w:tcW w:type="dxa" w:w="1296"/>
            <w:shd w:val="clear" w:fill="D4B1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Medium</w:t>
            </w:r>
          </w:p>
        </w:tc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Payroll audit + biometrics</w:t>
            </w:r>
          </w:p>
        </w:tc>
      </w:tr>
    </w:tbl>
    <w:p>
      <w:pPr>
        <w:pStyle w:val="Heading2"/>
      </w:pPr>
      <w:r>
        <w:t>2.3 Whistleblowing policy (core clauses)</w:t>
      </w:r>
    </w:p>
    <w:p>
      <w:pPr>
        <w:pStyle w:val="ListBullet"/>
      </w:pPr>
      <w:r>
        <w:rPr>
          <w:sz w:val="19"/>
        </w:rPr>
        <w:t>Confidential, multi-channel reporting (incl. anonymous)</w:t>
      </w:r>
    </w:p>
    <w:p>
      <w:pPr>
        <w:pStyle w:val="ListBullet"/>
      </w:pPr>
      <w:r>
        <w:rPr>
          <w:sz w:val="19"/>
        </w:rPr>
        <w:t>Non-retaliation guarantee</w:t>
      </w:r>
    </w:p>
    <w:p>
      <w:pPr>
        <w:pStyle w:val="ListBullet"/>
      </w:pPr>
      <w:r>
        <w:rPr>
          <w:sz w:val="19"/>
        </w:rPr>
        <w:t>Triage, investigation and feedback process</w:t>
      </w:r>
    </w:p>
    <w:p>
      <w:pPr>
        <w:pStyle w:val="ListBullet"/>
      </w:pPr>
      <w:r>
        <w:rPr>
          <w:sz w:val="19"/>
        </w:rPr>
        <w:t>Independence of the investigation function</w:t>
      </w:r>
    </w:p>
    <w:p>
      <w:pPr>
        <w:pStyle w:val="ListBullet"/>
      </w:pPr>
      <w:r>
        <w:rPr>
          <w:sz w:val="19"/>
        </w:rPr>
        <w:t>Reporting of trends to the Audit Committee</w:t>
      </w:r>
    </w:p>
    <w:p>
      <w:pPr>
        <w:pStyle w:val="Heading1"/>
      </w:pPr>
      <w:r>
        <w:t>3. Registers</w:t>
      </w:r>
    </w:p>
    <w:p>
      <w:r>
        <w:rPr>
          <w:b w:val="0"/>
          <w:i w:val="0"/>
          <w:sz w:val="20"/>
        </w:rPr>
        <w:t>Pair the Fraud Risk Register with the Incident Register and Loss Event Register (XLSX) to track suspected/actual fraud events and quantify losses.</w:t>
      </w:r>
    </w:p>
    <w:p>
      <w:pPr>
        <w:pStyle w:val="Heading1"/>
      </w:pPr>
      <w:r>
        <w:t>4. Checklists</w:t>
      </w:r>
    </w:p>
    <w:p>
      <w:pPr>
        <w:pStyle w:val="Heading2"/>
      </w:pPr>
      <w:r>
        <w:t>Anti-fraud controls checklist</w:t>
      </w:r>
    </w:p>
    <w:p>
      <w:pPr>
        <w:ind w:left="288"/>
      </w:pPr>
      <w:r>
        <w:rPr>
          <w:sz w:val="19"/>
        </w:rPr>
        <w:t>☐  Fraud risk assessment performed and refreshed</w:t>
      </w:r>
    </w:p>
    <w:p>
      <w:pPr>
        <w:ind w:left="288"/>
      </w:pPr>
      <w:r>
        <w:rPr>
          <w:sz w:val="19"/>
        </w:rPr>
        <w:t>☐  Segregation of duties over payments and vendor master</w:t>
      </w:r>
    </w:p>
    <w:p>
      <w:pPr>
        <w:ind w:left="288"/>
      </w:pPr>
      <w:r>
        <w:rPr>
          <w:sz w:val="19"/>
        </w:rPr>
        <w:t>☐  Three-way match and approval thresholds</w:t>
      </w:r>
    </w:p>
    <w:p>
      <w:pPr>
        <w:ind w:left="288"/>
      </w:pPr>
      <w:r>
        <w:rPr>
          <w:sz w:val="19"/>
        </w:rPr>
        <w:t>☐  Mandatory call-back for payment changes</w:t>
      </w:r>
    </w:p>
    <w:p>
      <w:pPr>
        <w:ind w:left="288"/>
      </w:pPr>
      <w:r>
        <w:rPr>
          <w:sz w:val="19"/>
        </w:rPr>
        <w:t>☐  Vendor and employee vetting</w:t>
      </w:r>
    </w:p>
    <w:p>
      <w:pPr>
        <w:ind w:left="288"/>
      </w:pPr>
      <w:r>
        <w:rPr>
          <w:sz w:val="19"/>
        </w:rPr>
        <w:t>☐  Whistleblowing channel live and promoted</w:t>
      </w:r>
    </w:p>
    <w:p>
      <w:pPr>
        <w:ind w:left="288"/>
      </w:pPr>
      <w:r>
        <w:rPr>
          <w:sz w:val="19"/>
        </w:rPr>
        <w:t>☐  Detection analytics / red-flag monitoring</w:t>
      </w:r>
    </w:p>
    <w:p>
      <w:pPr>
        <w:ind w:left="288"/>
      </w:pPr>
      <w:r>
        <w:rPr>
          <w:sz w:val="19"/>
        </w:rPr>
        <w:t>☐  Investigation protocol and forensic readiness</w:t>
      </w:r>
    </w:p>
    <w:p>
      <w:pPr>
        <w:ind w:left="288"/>
      </w:pPr>
      <w:r>
        <w:rPr>
          <w:sz w:val="19"/>
        </w:rPr>
        <w:t>☐  Fraud awareness training delivered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Risk is governed through three lines of defence under board oversight: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Responsibility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Board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Oversight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Approves policy, appetite; oversees the risk profile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Risk / Audit Committee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Focused oversight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Reviews top risks, appetite, assurance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1st line — Management/owners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Own &amp; manage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Identify, assess, control and report risk in operations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2nd line — Risk/Compliance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Oversee &amp; challenge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Set framework, monitor, challenge, aggregate reporting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3rd line — Internal Audit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Assure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Independent assurance over the risk and control system</w:t>
            </w:r>
          </w:p>
        </w:tc>
      </w:tr>
    </w:tbl>
    <w:p>
      <w:pPr>
        <w:pStyle w:val="Heading2"/>
      </w:pPr>
      <w:r>
        <w:t>Reporting Templates</w:t>
      </w:r>
    </w:p>
    <w:p>
      <w:pPr>
        <w:pStyle w:val="Heading3"/>
      </w:pPr>
      <w:r>
        <w:t>Standard fraud report structure</w:t>
      </w:r>
    </w:p>
    <w:p>
      <w:pPr>
        <w:pStyle w:val="ListBullet"/>
      </w:pPr>
      <w:r>
        <w:rPr>
          <w:sz w:val="19"/>
        </w:rPr>
        <w:t>Executive summary &amp; key messages</w:t>
      </w:r>
    </w:p>
    <w:p>
      <w:pPr>
        <w:pStyle w:val="ListBullet"/>
      </w:pPr>
      <w:r>
        <w:rPr>
          <w:sz w:val="19"/>
        </w:rPr>
        <w:t>Profile vs appetite (RAG)</w:t>
      </w:r>
    </w:p>
    <w:p>
      <w:pPr>
        <w:pStyle w:val="ListBullet"/>
      </w:pPr>
      <w:r>
        <w:rPr>
          <w:sz w:val="19"/>
        </w:rPr>
        <w:t>Top risks &amp; movement</w:t>
      </w:r>
    </w:p>
    <w:p>
      <w:pPr>
        <w:pStyle w:val="ListBullet"/>
      </w:pPr>
      <w:r>
        <w:rPr>
          <w:sz w:val="19"/>
        </w:rPr>
        <w:t>KRIs and breaches</w:t>
      </w:r>
    </w:p>
    <w:p>
      <w:pPr>
        <w:pStyle w:val="ListBullet"/>
      </w:pPr>
      <w:r>
        <w:rPr>
          <w:sz w:val="19"/>
        </w:rPr>
        <w:t>Incidents &amp; losses in period</w:t>
      </w:r>
    </w:p>
    <w:p>
      <w:pPr>
        <w:pStyle w:val="ListBullet"/>
      </w:pPr>
      <w:r>
        <w:rPr>
          <w:sz w:val="19"/>
        </w:rPr>
        <w:t>Actions &amp; overdue items</w:t>
      </w:r>
    </w:p>
    <w:p>
      <w:pPr>
        <w:pStyle w:val="ListBullet"/>
      </w:pPr>
      <w:r>
        <w:rPr>
          <w:sz w:val="19"/>
        </w:rPr>
        <w:t>Decisions / escalations sought</w:t>
      </w:r>
    </w:p>
    <w:p>
      <w:pPr>
        <w:pStyle w:val="Heading3"/>
      </w:pPr>
      <w:r>
        <w:t>KRI reporting table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32"/>
        <w:gridCol w:w="1632"/>
        <w:gridCol w:w="1632"/>
        <w:gridCol w:w="1632"/>
        <w:gridCol w:w="1632"/>
        <w:gridCol w:w="1632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KRI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Trend</w:t>
            </w:r>
          </w:p>
        </w:tc>
        <w:tc>
          <w:tcPr>
            <w:tcW w:type="dxa" w:w="302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Fraud loss YTD (₦m)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6.5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≤10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Up</w:t>
            </w:r>
          </w:p>
        </w:tc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sz w:val="16"/>
              </w:rPr>
              <w:t>Strengthen controls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Open red-flags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2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12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Stable</w:t>
            </w:r>
          </w:p>
        </w:tc>
        <w:tc>
          <w:tcPr>
            <w:tcW w:type="dxa" w:w="302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Investigate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Whistleblowing cases open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1152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Stable</w:t>
            </w:r>
          </w:p>
        </w:tc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sz w:val="16"/>
              </w:rPr>
              <w:t>Progress case</w:t>
            </w:r>
          </w:p>
        </w:tc>
      </w:tr>
    </w:tbl>
    <w:p>
      <w:pPr>
        <w:pStyle w:val="Heading2"/>
      </w:pPr>
      <w:r>
        <w:t>Board Reporting Example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Fraud exposure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One material BEC attempt blocked; controls tightened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Losses YTD</w:t>
            </w:r>
          </w:p>
        </w:tc>
        <w:tc>
          <w:tcPr>
            <w:tcW w:type="dxa" w:w="1440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₦6.5m vs ₦10m tolerance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Speak-up health</w:t>
            </w:r>
          </w:p>
        </w:tc>
        <w:tc>
          <w:tcPr>
            <w:tcW w:type="dxa" w:w="1440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Channel active; cases handled within SLA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investment in transaction analytics</w:t>
            </w:r>
          </w:p>
        </w:tc>
      </w:tr>
    </w:tbl>
    <w:p>
      <w:pPr>
        <w:pStyle w:val="Heading2"/>
      </w:pPr>
      <w:r>
        <w:t>Disclaimer</w:t>
      </w:r>
    </w:p>
    <w:p>
      <w:r>
        <w:rPr>
          <w:b w:val="0"/>
          <w:i/>
          <w:sz w:val="18"/>
        </w:rPr>
        <w:t>This toolkit is a professional management resource, not legal, regulatory or audit advice. Calibrate scoring scales, appetite, limits and governance to your organisation, sector and applicable regulation. Sector-specific requirements (e.g. prudential, data-protection, HSE) must be confirmed against current local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