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Crisis Management Toolkit™</w:t>
      </w:r>
    </w:p>
    <w:p>
      <w:pPr>
        <w:jc w:val="center"/>
      </w:pPr>
      <w:r>
        <w:rPr>
          <w:color w:val="C97B2C"/>
          <w:sz w:val="26"/>
        </w:rPr>
        <w:t>Lead through acute crises with speed, control and credibility</w:t>
      </w:r>
    </w:p>
    <w:p/>
    <w:p/>
    <w:p>
      <w:pPr>
        <w:jc w:val="center"/>
      </w:pPr>
      <w:r>
        <w:rPr>
          <w:color w:val="555555"/>
          <w:sz w:val="20"/>
        </w:rPr>
        <w:t>Executive / Crisis Team / Board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A crisis is an acute, high-impact event that threatens the organisation and demands rapid, coordinated executive response. This toolkit provides a five-stage model, crisis team structure, decision protocols and communications.</w:t>
      </w:r>
    </w:p>
    <w:p>
      <w:pPr>
        <w:pStyle w:val="Heading2"/>
      </w:pPr>
      <w:r>
        <w:t>The five-stage crisis model</w:t>
      </w:r>
    </w:p>
    <w:p>
      <w:pPr>
        <w:pStyle w:val="ListNumber"/>
      </w:pPr>
      <w:r>
        <w:rPr>
          <w:sz w:val="19"/>
        </w:rPr>
        <w:t>Prepare — team, plan, scenarios, training</w:t>
      </w:r>
    </w:p>
    <w:p>
      <w:pPr>
        <w:pStyle w:val="ListNumber"/>
      </w:pPr>
      <w:r>
        <w:rPr>
          <w:sz w:val="19"/>
        </w:rPr>
        <w:t>Detect — early warning &amp; activation</w:t>
      </w:r>
    </w:p>
    <w:p>
      <w:pPr>
        <w:pStyle w:val="ListNumber"/>
      </w:pPr>
      <w:r>
        <w:rPr>
          <w:sz w:val="19"/>
        </w:rPr>
        <w:t>Respond — command, decisions, containment</w:t>
      </w:r>
    </w:p>
    <w:p>
      <w:pPr>
        <w:pStyle w:val="ListNumber"/>
      </w:pPr>
      <w:r>
        <w:rPr>
          <w:sz w:val="19"/>
        </w:rPr>
        <w:t>Recover — restore operations &amp; confidence</w:t>
      </w:r>
    </w:p>
    <w:p>
      <w:pPr>
        <w:pStyle w:val="ListNumber"/>
      </w:pPr>
      <w:r>
        <w:rPr>
          <w:sz w:val="19"/>
        </w:rPr>
        <w:t>Learn — post-crisis review &amp; improvement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Fragile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Functional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Disciplined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Strategic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Resilient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Informal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Integrated &amp; quantified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1"/>
      </w:pPr>
      <w:r>
        <w:t>2. Templates</w:t>
      </w:r>
    </w:p>
    <w:p>
      <w:pPr>
        <w:pStyle w:val="Heading2"/>
      </w:pPr>
      <w:r>
        <w:t>2.1 Crisis team &amp; RACI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16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83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Responsibility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Crisis Sponsor (CEO/Exec)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Overall command and key decisions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Crisis Manager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Coordinates response and the crisis room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Communications Lead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Internal/external communications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Operations Lead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Operational containment and recovery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Legal/Compliance Lead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Legal, regulatory and reporting obligations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Scribe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 and action log</w:t>
            </w:r>
          </w:p>
        </w:tc>
      </w:tr>
    </w:tbl>
    <w:p>
      <w:pPr>
        <w:pStyle w:val="Heading2"/>
      </w:pPr>
      <w:r>
        <w:t>2.2 Crisis activation &amp; severity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Severity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Definition</w:t>
            </w:r>
          </w:p>
        </w:tc>
        <w:tc>
          <w:tcPr>
            <w:tcW w:type="dxa" w:w="46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Authority to activate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Level 1 (Major)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Enterprise-threatening</w:t>
            </w:r>
          </w:p>
        </w:tc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CEO / Board notified</w:t>
            </w:r>
          </w:p>
        </w:tc>
      </w:tr>
      <w:tr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Level 2 (Significant)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Material but contained</w:t>
            </w:r>
          </w:p>
        </w:tc>
        <w:tc>
          <w:tcPr>
            <w:tcW w:type="dxa" w:w="46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Crisis Manager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Level 3 (Minor)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Localised disruption</w:t>
            </w:r>
          </w:p>
        </w:tc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Function head</w:t>
            </w:r>
          </w:p>
        </w:tc>
      </w:tr>
    </w:tbl>
    <w:p>
      <w:pPr>
        <w:pStyle w:val="Heading2"/>
      </w:pPr>
      <w:r>
        <w:t>2.3 Crisis communications templates</w:t>
      </w:r>
    </w:p>
    <w:p>
      <w:pPr>
        <w:pStyle w:val="ListBullet"/>
      </w:pPr>
      <w:r>
        <w:rPr>
          <w:sz w:val="19"/>
        </w:rPr>
        <w:t>Holding statement (first hour)</w:t>
      </w:r>
    </w:p>
    <w:p>
      <w:pPr>
        <w:pStyle w:val="ListBullet"/>
      </w:pPr>
      <w:r>
        <w:rPr>
          <w:sz w:val="19"/>
        </w:rPr>
        <w:t>Staff notification</w:t>
      </w:r>
    </w:p>
    <w:p>
      <w:pPr>
        <w:pStyle w:val="ListBullet"/>
      </w:pPr>
      <w:r>
        <w:rPr>
          <w:sz w:val="19"/>
        </w:rPr>
        <w:t>Customer notification</w:t>
      </w:r>
    </w:p>
    <w:p>
      <w:pPr>
        <w:pStyle w:val="ListBullet"/>
      </w:pPr>
      <w:r>
        <w:rPr>
          <w:sz w:val="19"/>
        </w:rPr>
        <w:t>Regulator notification</w:t>
      </w:r>
    </w:p>
    <w:p>
      <w:pPr>
        <w:pStyle w:val="ListBullet"/>
      </w:pPr>
      <w:r>
        <w:rPr>
          <w:sz w:val="19"/>
        </w:rPr>
        <w:t>Media statement</w:t>
      </w:r>
    </w:p>
    <w:p>
      <w:pPr>
        <w:pStyle w:val="ListBullet"/>
      </w:pPr>
      <w:r>
        <w:rPr>
          <w:sz w:val="19"/>
        </w:rPr>
        <w:t>Post-resolution update</w:t>
      </w:r>
    </w:p>
    <w:p>
      <w:pPr>
        <w:pStyle w:val="Heading2"/>
      </w:pPr>
      <w:r>
        <w:t>2.4 Decision &amp; action log (template)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Time</w:t>
            </w:r>
          </w:p>
        </w:tc>
        <w:tc>
          <w:tcPr>
            <w:tcW w:type="dxa" w:w="518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Decision/Action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10:05</w:t>
            </w:r>
          </w:p>
        </w:tc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6"/>
              </w:rPr>
              <w:t>Activate crisis team (Level 1)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Crisis Mgr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Done</w:t>
            </w:r>
          </w:p>
        </w:tc>
      </w:tr>
      <w:tr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10:20</w:t>
            </w:r>
          </w:p>
        </w:tc>
        <w:tc>
          <w:tcPr>
            <w:tcW w:type="dxa" w:w="51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Issue holding statement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Comms</w:t>
            </w:r>
          </w:p>
        </w:tc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Done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10:40</w:t>
            </w:r>
          </w:p>
        </w:tc>
        <w:tc>
          <w:tcPr>
            <w:tcW w:type="dxa" w:w="5184"/>
          </w:tcPr>
          <w:p>
            <w:r/>
            <w:r>
              <w:rPr>
                <w:rFonts w:ascii="Arial" w:hAnsi="Arial"/>
                <w:b w:val="0"/>
                <w:sz w:val="16"/>
              </w:rPr>
              <w:t>Isolate affected systems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IT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In progress</w:t>
            </w:r>
          </w:p>
        </w:tc>
      </w:tr>
    </w:tbl>
    <w:p>
      <w:pPr>
        <w:pStyle w:val="Heading1"/>
      </w:pPr>
      <w:r>
        <w:t>3. Registers</w:t>
      </w:r>
    </w:p>
    <w:p>
      <w:r>
        <w:rPr>
          <w:b w:val="0"/>
          <w:i w:val="0"/>
          <w:sz w:val="20"/>
        </w:rPr>
        <w:t>Capture the event in the Incident Register (XLSX); log all crisis decisions in the action log; feed lessons into the Enterprise Risk Register.</w:t>
      </w:r>
    </w:p>
    <w:p>
      <w:pPr>
        <w:pStyle w:val="Heading1"/>
      </w:pPr>
      <w:r>
        <w:t>4. Checklists</w:t>
      </w:r>
    </w:p>
    <w:p>
      <w:pPr>
        <w:pStyle w:val="Heading2"/>
      </w:pPr>
      <w:r>
        <w:t>Crisis readiness checklist</w:t>
      </w:r>
    </w:p>
    <w:p>
      <w:pPr>
        <w:ind w:left="288"/>
      </w:pPr>
      <w:r>
        <w:rPr>
          <w:sz w:val="19"/>
        </w:rPr>
        <w:t>☐  Crisis plan documented and accessible offline</w:t>
      </w:r>
    </w:p>
    <w:p>
      <w:pPr>
        <w:ind w:left="288"/>
      </w:pPr>
      <w:r>
        <w:rPr>
          <w:sz w:val="19"/>
        </w:rPr>
        <w:t>☐  Crisis team and deputies named with contacts</w:t>
      </w:r>
    </w:p>
    <w:p>
      <w:pPr>
        <w:ind w:left="288"/>
      </w:pPr>
      <w:r>
        <w:rPr>
          <w:sz w:val="19"/>
        </w:rPr>
        <w:t>☐  Activation triggers and severity levels defined</w:t>
      </w:r>
    </w:p>
    <w:p>
      <w:pPr>
        <w:ind w:left="288"/>
      </w:pPr>
      <w:r>
        <w:rPr>
          <w:sz w:val="19"/>
        </w:rPr>
        <w:t>☐  Decision protocol and authorities clear</w:t>
      </w:r>
    </w:p>
    <w:p>
      <w:pPr>
        <w:ind w:left="288"/>
      </w:pPr>
      <w:r>
        <w:rPr>
          <w:sz w:val="19"/>
        </w:rPr>
        <w:t>☐  Communications templates pre-drafted</w:t>
      </w:r>
    </w:p>
    <w:p>
      <w:pPr>
        <w:ind w:left="288"/>
      </w:pPr>
      <w:r>
        <w:rPr>
          <w:sz w:val="19"/>
        </w:rPr>
        <w:t>☐  Crisis room / virtual bridge ready</w:t>
      </w:r>
    </w:p>
    <w:p>
      <w:pPr>
        <w:ind w:left="288"/>
      </w:pPr>
      <w:r>
        <w:rPr>
          <w:sz w:val="19"/>
        </w:rPr>
        <w:t>☐  Simulation exercised in last 12 months</w:t>
      </w:r>
    </w:p>
    <w:p>
      <w:pPr>
        <w:ind w:left="288"/>
      </w:pPr>
      <w:r>
        <w:rPr>
          <w:sz w:val="19"/>
        </w:rPr>
        <w:t>☐  Post-crisis review process defined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Risk is governed through three lines of defence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Responsibility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Oversight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policy, appetite; oversees the risk profile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 / Audit Committee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Focused oversight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Reviews top risks, appetite, assurance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1st line — Management/owners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Own &amp; manage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Identify, assess, control and report risk in operations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2nd line — Risk/Compliance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Oversee &amp; challenge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3rd line — Internal Audit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Assure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the risk and control system</w:t>
            </w:r>
          </w:p>
        </w:tc>
      </w:tr>
    </w:tbl>
    <w:p>
      <w:pPr>
        <w:pStyle w:val="Heading2"/>
      </w:pPr>
      <w:r>
        <w:t>Reporting Templates</w:t>
      </w:r>
    </w:p>
    <w:p>
      <w:pPr>
        <w:pStyle w:val="Heading3"/>
      </w:pPr>
      <w:r>
        <w:t>Standard crisis-readiness report structure</w:t>
      </w:r>
    </w:p>
    <w:p>
      <w:pPr>
        <w:pStyle w:val="ListBullet"/>
      </w:pPr>
      <w:r>
        <w:rPr>
          <w:sz w:val="19"/>
        </w:rPr>
        <w:t>Executive summary &amp; key messages</w:t>
      </w:r>
    </w:p>
    <w:p>
      <w:pPr>
        <w:pStyle w:val="ListBullet"/>
      </w:pPr>
      <w:r>
        <w:rPr>
          <w:sz w:val="19"/>
        </w:rPr>
        <w:t>Profile vs appetite (RAG)</w:t>
      </w:r>
    </w:p>
    <w:p>
      <w:pPr>
        <w:pStyle w:val="ListBullet"/>
      </w:pPr>
      <w:r>
        <w:rPr>
          <w:sz w:val="19"/>
        </w:rPr>
        <w:t>Top risks &amp; movement</w:t>
      </w:r>
    </w:p>
    <w:p>
      <w:pPr>
        <w:pStyle w:val="ListBullet"/>
      </w:pPr>
      <w:r>
        <w:rPr>
          <w:sz w:val="19"/>
        </w:rPr>
        <w:t>KRIs and breaches</w:t>
      </w:r>
    </w:p>
    <w:p>
      <w:pPr>
        <w:pStyle w:val="ListBullet"/>
      </w:pPr>
      <w:r>
        <w:rPr>
          <w:sz w:val="19"/>
        </w:rPr>
        <w:t>Incidents &amp; losses in period</w:t>
      </w:r>
    </w:p>
    <w:p>
      <w:pPr>
        <w:pStyle w:val="ListBullet"/>
      </w:pPr>
      <w:r>
        <w:rPr>
          <w:sz w:val="19"/>
        </w:rPr>
        <w:t>Actions &amp; overdue items</w:t>
      </w:r>
    </w:p>
    <w:p>
      <w:pPr>
        <w:pStyle w:val="ListBullet"/>
      </w:pPr>
      <w:r>
        <w:rPr>
          <w:sz w:val="19"/>
        </w:rPr>
        <w:t>Decisions / escalations sought</w:t>
      </w:r>
    </w:p>
    <w:p>
      <w:pPr>
        <w:pStyle w:val="Heading3"/>
      </w:pPr>
      <w:r>
        <w:t>KRI reporting table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Trend</w:t>
            </w:r>
          </w:p>
        </w:tc>
        <w:tc>
          <w:tcPr>
            <w:tcW w:type="dxa" w:w="302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Crisis plan currency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Current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Current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Last simulation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4 mo ago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≤12 mo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Schedule next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Open post-crisis actions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Down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Close out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Crisis readiness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Plan current; simulation completed 4 months ago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Recent activations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No Level 1 crises this period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Improvement actions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2 actions from last simulation still open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Note readiness; approve annual simulation calendar</w:t>
            </w:r>
          </w:p>
        </w:tc>
      </w:tr>
    </w:tbl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