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Treasury Excellence Toolkit™</w:t>
      </w:r>
    </w:p>
    <w:p>
      <w:pPr>
        <w:jc w:val="center"/>
      </w:pPr>
      <w:r>
        <w:rPr>
          <w:color w:val="C97B2C"/>
          <w:sz w:val="26"/>
        </w:rPr>
        <w:t>Manage cash, funding and financial risk</w:t>
      </w:r>
    </w:p>
    <w:p/>
    <w:p/>
    <w:p>
      <w:pPr>
        <w:jc w:val="center"/>
      </w:pPr>
      <w:r>
        <w:rPr>
          <w:color w:val="555555"/>
          <w:sz w:val="20"/>
        </w:rPr>
        <w:t>CFO / Treasurer / Treasury Team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helps treasury manage cash and liquidity, funding and debt, and FX/interest-rate risk, with the policy, controls and reporting to do it safely and efficiently.</w:t>
      </w:r>
    </w:p>
    <w:p>
      <w:pPr>
        <w:pStyle w:val="Heading2"/>
      </w:pPr>
      <w:r>
        <w:t>Operating lifecycle</w:t>
      </w:r>
    </w:p>
    <w:p>
      <w:pPr>
        <w:pStyle w:val="ListNumber"/>
      </w:pPr>
      <w:r>
        <w:rPr>
          <w:sz w:val="19"/>
        </w:rPr>
        <w:t>Forecast — short-term cash and liquidity</w:t>
      </w:r>
    </w:p>
    <w:p>
      <w:pPr>
        <w:pStyle w:val="ListNumber"/>
      </w:pPr>
      <w:r>
        <w:rPr>
          <w:sz w:val="19"/>
        </w:rPr>
        <w:t>Fund — secure and efficient funding</w:t>
      </w:r>
    </w:p>
    <w:p>
      <w:pPr>
        <w:pStyle w:val="ListNumber"/>
      </w:pPr>
      <w:r>
        <w:rPr>
          <w:sz w:val="19"/>
        </w:rPr>
        <w:t>Hedge — manage FX and interest-rate risk</w:t>
      </w:r>
    </w:p>
    <w:p>
      <w:pPr>
        <w:pStyle w:val="ListNumber"/>
      </w:pPr>
      <w:r>
        <w:rPr>
          <w:sz w:val="19"/>
        </w:rPr>
        <w:t>Control — treasury policy and controls</w:t>
      </w:r>
    </w:p>
    <w:p>
      <w:pPr>
        <w:pStyle w:val="ListNumber"/>
      </w:pPr>
      <w:r>
        <w:rPr>
          <w:sz w:val="19"/>
        </w:rPr>
        <w:t>Report — treasury dashboard and board reporting</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Cash &amp; liquidity management</w:t>
      </w:r>
    </w:p>
    <w:p>
      <w:pPr>
        <w:pStyle w:val="ListBullet"/>
      </w:pPr>
      <w:r>
        <w:rPr>
          <w:sz w:val="19"/>
        </w:rPr>
        <w:t>Funding &amp; debt</w:t>
      </w:r>
    </w:p>
    <w:p>
      <w:pPr>
        <w:pStyle w:val="ListBullet"/>
      </w:pPr>
      <w:r>
        <w:rPr>
          <w:sz w:val="19"/>
        </w:rPr>
        <w:t>FX &amp; interest-rate risk</w:t>
      </w:r>
    </w:p>
    <w:p>
      <w:pPr>
        <w:pStyle w:val="ListBullet"/>
      </w:pPr>
      <w:r>
        <w:rPr>
          <w:sz w:val="19"/>
        </w:rPr>
        <w:t>Banking relationships</w:t>
      </w:r>
    </w:p>
    <w:p>
      <w:pPr>
        <w:pStyle w:val="ListBullet"/>
      </w:pPr>
      <w:r>
        <w:rPr>
          <w:sz w:val="19"/>
        </w:rPr>
        <w:t>Treasury policy</w:t>
      </w:r>
    </w:p>
    <w:p>
      <w:pPr>
        <w:pStyle w:val="ListBullet"/>
      </w:pPr>
      <w:r>
        <w:rPr>
          <w:sz w:val="19"/>
        </w:rPr>
        <w:t>Treasury controls</w:t>
      </w:r>
    </w:p>
    <w:p>
      <w:pPr>
        <w:pStyle w:val="Heading1"/>
      </w:pPr>
      <w:r>
        <w:t>2. Templates &amp; Contents</w:t>
      </w:r>
    </w:p>
    <w:p>
      <w:pPr>
        <w:pStyle w:val="Heading3"/>
      </w:pPr>
      <w:r>
        <w:t>Treasury policy template</w:t>
      </w:r>
    </w:p>
    <w:p>
      <w:r>
        <w:rPr>
          <w:b w:val="0"/>
          <w:i w:val="0"/>
          <w:sz w:val="19"/>
        </w:rPr>
        <w:t>Mandate, limits, responsibilities and controls for treasury.</w:t>
      </w:r>
    </w:p>
    <w:p>
      <w:pPr>
        <w:pStyle w:val="Heading3"/>
      </w:pPr>
      <w:r>
        <w:t>13-week cash flow forecast</w:t>
      </w:r>
    </w:p>
    <w:p>
      <w:r>
        <w:rPr>
          <w:b w:val="0"/>
          <w:i w:val="0"/>
          <w:sz w:val="19"/>
        </w:rPr>
        <w:t>Rolling short-term liquidity forecast (supplied as a working XLSX).</w:t>
      </w:r>
    </w:p>
    <w:p>
      <w:pPr>
        <w:pStyle w:val="Heading3"/>
      </w:pPr>
      <w:r>
        <w:t>Treasury dashboard</w:t>
      </w:r>
    </w:p>
    <w:p>
      <w:r>
        <w:rPr>
          <w:b w:val="0"/>
          <w:i w:val="0"/>
          <w:sz w:val="19"/>
        </w:rPr>
        <w:t>Liquidity, funding and FX-risk dashboard (supplied as a working XLSX).</w:t>
      </w:r>
    </w:p>
    <w:p>
      <w:pPr>
        <w:pStyle w:val="Heading3"/>
      </w:pPr>
      <w:r>
        <w:t>Bank relationship register</w:t>
      </w:r>
    </w:p>
    <w:p>
      <w:r>
        <w:rPr>
          <w:b w:val="0"/>
          <w:i w:val="0"/>
          <w:sz w:val="19"/>
        </w:rPr>
        <w:t>Track facilities, covenants and relationships.</w:t>
      </w:r>
    </w:p>
    <w:p>
      <w:pPr>
        <w:pStyle w:val="Heading3"/>
      </w:pPr>
      <w:r>
        <w:t>Debt &amp; covenant tracker</w:t>
      </w:r>
    </w:p>
    <w:p>
      <w:r>
        <w:rPr>
          <w:b w:val="0"/>
          <w:i w:val="0"/>
          <w:sz w:val="19"/>
        </w:rPr>
        <w:t>Monitor debt, maturities and covenant headroom.</w:t>
      </w:r>
    </w:p>
    <w:p>
      <w:pPr>
        <w:pStyle w:val="Heading1"/>
      </w:pPr>
      <w:r>
        <w:t>3. Checklists</w:t>
      </w:r>
    </w:p>
    <w:p>
      <w:pPr>
        <w:ind w:left="288"/>
      </w:pPr>
      <w:r>
        <w:rPr>
          <w:sz w:val="19"/>
        </w:rPr>
        <w:t>☐  Treasury policy adopted and current</w:t>
      </w:r>
    </w:p>
    <w:p>
      <w:pPr>
        <w:ind w:left="288"/>
      </w:pPr>
      <w:r>
        <w:rPr>
          <w:sz w:val="19"/>
        </w:rPr>
        <w:t>☐  13-week cash forecast operating</w:t>
      </w:r>
    </w:p>
    <w:p>
      <w:pPr>
        <w:ind w:left="288"/>
      </w:pPr>
      <w:r>
        <w:rPr>
          <w:sz w:val="19"/>
        </w:rPr>
        <w:t>☐  Liquidity headroom monitored against minimum</w:t>
      </w:r>
    </w:p>
    <w:p>
      <w:pPr>
        <w:ind w:left="288"/>
      </w:pPr>
      <w:r>
        <w:rPr>
          <w:sz w:val="19"/>
        </w:rPr>
        <w:t>☐  Funding secure with covenant headroom tracked</w:t>
      </w:r>
    </w:p>
    <w:p>
      <w:pPr>
        <w:ind w:left="288"/>
      </w:pPr>
      <w:r>
        <w:rPr>
          <w:sz w:val="19"/>
        </w:rPr>
        <w:t>☐  FX exposure hedged per policy</w:t>
      </w:r>
    </w:p>
    <w:p>
      <w:pPr>
        <w:ind w:left="288"/>
      </w:pPr>
      <w:r>
        <w:rPr>
          <w:sz w:val="19"/>
        </w:rPr>
        <w:t>☐  Banking relationships governed</w:t>
      </w:r>
    </w:p>
    <w:p>
      <w:pPr>
        <w:ind w:left="288"/>
      </w:pPr>
      <w:r>
        <w:rPr>
          <w:sz w:val="19"/>
        </w:rPr>
        <w:t>☐  Treasury controls effective</w:t>
      </w:r>
    </w:p>
    <w:p>
      <w:pPr>
        <w:pStyle w:val="Heading2"/>
      </w:pPr>
      <w:r>
        <w:t>Governance Structure</w:t>
      </w:r>
    </w:p>
    <w:p>
      <w:r>
        <w:rPr>
          <w:b w:val="0"/>
          <w:i w:val="0"/>
          <w:sz w:val="20"/>
        </w:rPr>
        <w:t>Treasury operates under board oversight with the CFO and treasurer accountable, aligned to risk appetite:</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Liquidity headroom</w:t>
            </w:r>
          </w:p>
        </w:tc>
        <w:tc>
          <w:tcPr>
            <w:tcW w:type="dxa" w:w="1440"/>
          </w:tcPr>
          <w:p>
            <w:r/>
            <w:r>
              <w:rPr>
                <w:rFonts w:ascii="Arial" w:hAnsi="Arial"/>
                <w:b w:val="0"/>
                <w:sz w:val="16"/>
              </w:rPr>
              <w:t>1.8x</w:t>
            </w:r>
          </w:p>
        </w:tc>
        <w:tc>
          <w:tcPr>
            <w:tcW w:type="dxa" w:w="1728"/>
          </w:tcPr>
          <w:p>
            <w:r/>
            <w:r>
              <w:rPr>
                <w:rFonts w:ascii="Arial" w:hAnsi="Arial"/>
                <w:b w:val="0"/>
                <w:sz w:val="16"/>
              </w:rPr>
              <w:t>≥1.5x</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Covenant headroom</w:t>
            </w:r>
          </w:p>
        </w:tc>
        <w:tc>
          <w:tcPr>
            <w:tcW w:type="dxa" w:w="1440"/>
            <w:shd w:val="clear" w:fill="F4F7FB"/>
          </w:tcPr>
          <w:p>
            <w:r/>
            <w:r>
              <w:rPr>
                <w:rFonts w:ascii="Arial" w:hAnsi="Arial"/>
                <w:b w:val="0"/>
                <w:sz w:val="16"/>
              </w:rPr>
              <w:t>22%</w:t>
            </w:r>
          </w:p>
        </w:tc>
        <w:tc>
          <w:tcPr>
            <w:tcW w:type="dxa" w:w="1728"/>
            <w:shd w:val="clear" w:fill="F4F7FB"/>
          </w:tcPr>
          <w:p>
            <w:r/>
            <w:r>
              <w:rPr>
                <w:rFonts w:ascii="Arial" w:hAnsi="Arial"/>
                <w:b w:val="0"/>
                <w:sz w:val="16"/>
              </w:rPr>
              <w:t>≥15%</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FX hedged</w:t>
            </w:r>
          </w:p>
        </w:tc>
        <w:tc>
          <w:tcPr>
            <w:tcW w:type="dxa" w:w="1440"/>
          </w:tcPr>
          <w:p>
            <w:r/>
            <w:r>
              <w:rPr>
                <w:rFonts w:ascii="Arial" w:hAnsi="Arial"/>
                <w:b w:val="0"/>
                <w:sz w:val="16"/>
              </w:rPr>
              <w:t>70%</w:t>
            </w:r>
          </w:p>
        </w:tc>
        <w:tc>
          <w:tcPr>
            <w:tcW w:type="dxa" w:w="1728"/>
          </w:tcPr>
          <w:p>
            <w:r/>
            <w:r>
              <w:rPr>
                <w:rFonts w:ascii="Arial" w:hAnsi="Arial"/>
                <w:b w:val="0"/>
                <w:sz w:val="16"/>
              </w:rPr>
              <w:t>≥75%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Increase hedging</w:t>
            </w:r>
          </w:p>
        </w:tc>
      </w:tr>
      <w:tr>
        <w:tc>
          <w:tcPr>
            <w:tcW w:type="dxa" w:w="2880"/>
            <w:shd w:val="clear" w:fill="F4F7FB"/>
          </w:tcPr>
          <w:p>
            <w:r/>
            <w:r>
              <w:rPr>
                <w:rFonts w:ascii="Arial" w:hAnsi="Arial"/>
                <w:b w:val="0"/>
                <w:sz w:val="16"/>
              </w:rPr>
              <w:t>Days cash on hand</w:t>
            </w:r>
          </w:p>
        </w:tc>
        <w:tc>
          <w:tcPr>
            <w:tcW w:type="dxa" w:w="1440"/>
            <w:shd w:val="clear" w:fill="F4F7FB"/>
          </w:tcPr>
          <w:p>
            <w:r/>
            <w:r>
              <w:rPr>
                <w:rFonts w:ascii="Arial" w:hAnsi="Arial"/>
                <w:b w:val="0"/>
                <w:sz w:val="16"/>
              </w:rPr>
              <w:t>95</w:t>
            </w:r>
          </w:p>
        </w:tc>
        <w:tc>
          <w:tcPr>
            <w:tcW w:type="dxa" w:w="1728"/>
            <w:shd w:val="clear" w:fill="F4F7FB"/>
          </w:tcPr>
          <w:p>
            <w:r/>
            <w:r>
              <w:rPr>
                <w:rFonts w:ascii="Arial" w:hAnsi="Arial"/>
                <w:b w:val="0"/>
                <w:sz w:val="16"/>
              </w:rPr>
              <w:t>≥60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Treasury &amp; liquidity</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Healthy liquidity and covenant headroom</w:t>
            </w:r>
          </w:p>
        </w:tc>
      </w:tr>
      <w:tr>
        <w:tc>
          <w:tcPr>
            <w:tcW w:type="dxa" w:w="2736"/>
            <w:shd w:val="clear" w:fill="F4F7FB"/>
          </w:tcPr>
          <w:p>
            <w:r/>
            <w:r>
              <w:rPr>
                <w:rFonts w:ascii="Arial" w:hAnsi="Arial"/>
                <w:b w:val="0"/>
                <w:sz w:val="16"/>
              </w:rPr>
              <w:t>Funding</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Secure with undrawn facilities</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FX hedging slightly below policy</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increased FX hedging</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