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DATA &amp; AI CENTRE™</w:t>
      </w:r>
    </w:p>
    <w:p>
      <w:pPr>
        <w:jc w:val="center"/>
      </w:pPr>
      <w:r>
        <w:rPr>
          <w:b/>
          <w:color w:val="10243F"/>
          <w:sz w:val="50"/>
        </w:rPr>
        <w:t>Business Intelligence Toolkit™</w:t>
      </w:r>
    </w:p>
    <w:p>
      <w:pPr>
        <w:jc w:val="center"/>
      </w:pPr>
      <w:r>
        <w:rPr>
          <w:color w:val="C97B2C"/>
          <w:sz w:val="26"/>
        </w:rPr>
        <w:t>Deliver governed, self-service insight</w:t>
      </w:r>
    </w:p>
    <w:p/>
    <w:p/>
    <w:p>
      <w:pPr>
        <w:jc w:val="center"/>
      </w:pPr>
      <w:r>
        <w:rPr>
          <w:color w:val="555555"/>
          <w:sz w:val="20"/>
        </w:rPr>
        <w:t>Analytics/BI Function / Data Office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Business intelligence turns governed data into trusted, self-service insight. This toolkit provides the semantic-layer standard, BI governance, dashboard design standards and adoption approach to deliver one source of truth.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Define — metrics and semantic layer</w:t>
      </w:r>
    </w:p>
    <w:p>
      <w:pPr>
        <w:pStyle w:val="ListNumber"/>
      </w:pPr>
      <w:r>
        <w:rPr>
          <w:sz w:val="19"/>
        </w:rPr>
        <w:t>Govern — BI governance and certification of reports</w:t>
      </w:r>
    </w:p>
    <w:p>
      <w:pPr>
        <w:pStyle w:val="ListNumber"/>
      </w:pPr>
      <w:r>
        <w:rPr>
          <w:sz w:val="19"/>
        </w:rPr>
        <w:t>Build — governed dashboards and self-service</w:t>
      </w:r>
    </w:p>
    <w:p>
      <w:pPr>
        <w:pStyle w:val="ListNumber"/>
      </w:pPr>
      <w:r>
        <w:rPr>
          <w:sz w:val="19"/>
        </w:rPr>
        <w:t>Enable — data literacy and adoption</w:t>
      </w:r>
    </w:p>
    <w:p>
      <w:pPr>
        <w:pStyle w:val="ListNumber"/>
      </w:pPr>
      <w:r>
        <w:rPr>
          <w:sz w:val="19"/>
        </w:rPr>
        <w:t>Measure — track adoption and value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Quantified &amp; integrated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Semantic and metrics layer</w:t>
      </w:r>
    </w:p>
    <w:p>
      <w:pPr>
        <w:pStyle w:val="ListBullet"/>
      </w:pPr>
      <w:r>
        <w:rPr>
          <w:sz w:val="19"/>
        </w:rPr>
        <w:t>Reporting and dashboards</w:t>
      </w:r>
    </w:p>
    <w:p>
      <w:pPr>
        <w:pStyle w:val="ListBullet"/>
      </w:pPr>
      <w:r>
        <w:rPr>
          <w:sz w:val="19"/>
        </w:rPr>
        <w:t>Self-service analytics</w:t>
      </w:r>
    </w:p>
    <w:p>
      <w:pPr>
        <w:pStyle w:val="ListBullet"/>
      </w:pPr>
      <w:r>
        <w:rPr>
          <w:sz w:val="19"/>
        </w:rPr>
        <w:t>Data literacy</w:t>
      </w:r>
    </w:p>
    <w:p>
      <w:pPr>
        <w:pStyle w:val="ListBullet"/>
      </w:pPr>
      <w:r>
        <w:rPr>
          <w:sz w:val="19"/>
        </w:rPr>
        <w:t>BI governance</w:t>
      </w:r>
    </w:p>
    <w:p>
      <w:pPr>
        <w:pStyle w:val="ListBullet"/>
      </w:pPr>
      <w:r>
        <w:rPr>
          <w:sz w:val="19"/>
        </w:rPr>
        <w:t>Adoption and value tracking</w:t>
      </w:r>
    </w:p>
    <w:p>
      <w:pPr>
        <w:pStyle w:val="Heading1"/>
      </w:pPr>
      <w:r>
        <w:t>2. Templates &amp; Registers</w:t>
      </w:r>
    </w:p>
    <w:p>
      <w:pPr>
        <w:pStyle w:val="Heading3"/>
      </w:pPr>
      <w:r>
        <w:t>Metric definition register</w:t>
      </w:r>
    </w:p>
    <w:p>
      <w:r>
        <w:rPr>
          <w:b w:val="0"/>
          <w:i w:val="0"/>
          <w:sz w:val="19"/>
        </w:rPr>
        <w:t>Define each metric once, governed centrally (structure).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Field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Example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Metric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Active customers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Definition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Customers with ≥1 transaction in 90 days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Owner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Head of Analytics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Source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CRM + Billing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Certified?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Yes</w:t>
            </w:r>
          </w:p>
        </w:tc>
      </w:tr>
    </w:tbl>
    <w:p>
      <w:pPr>
        <w:pStyle w:val="Heading3"/>
      </w:pPr>
      <w:r>
        <w:t>Dashboard design standard</w:t>
      </w:r>
    </w:p>
    <w:p>
      <w:r>
        <w:rPr>
          <w:b w:val="0"/>
          <w:i w:val="0"/>
          <w:sz w:val="19"/>
        </w:rPr>
        <w:t>Consistent, decision-grade dashboards.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Principle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Guidance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Audience-first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Design for the decision the user makes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One message per view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Lead with the headline metric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RAG &amp; thresholds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Show status vs target, not just values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Trust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Use only certified metrics</w:t>
            </w:r>
          </w:p>
        </w:tc>
      </w:tr>
    </w:tbl>
    <w:p>
      <w:pPr>
        <w:pStyle w:val="Heading3"/>
      </w:pPr>
      <w:r>
        <w:t>BI governance policy</w:t>
      </w:r>
    </w:p>
    <w:p>
      <w:r>
        <w:rPr>
          <w:b w:val="0"/>
          <w:i w:val="0"/>
          <w:sz w:val="19"/>
        </w:rPr>
        <w:t>Govern who can publish and certify.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Element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Provision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Certification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Reports from the semantic layer are certified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Publishing rights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Defined by role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Review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Periodic review of certified content</w:t>
            </w:r>
          </w:p>
        </w:tc>
      </w:tr>
    </w:tbl>
    <w:p>
      <w:pPr>
        <w:pStyle w:val="Heading1"/>
      </w:pPr>
      <w:r>
        <w:t>3. Checklists</w:t>
      </w:r>
    </w:p>
    <w:p>
      <w:pPr>
        <w:ind w:left="288"/>
      </w:pPr>
      <w:r>
        <w:rPr>
          <w:sz w:val="19"/>
        </w:rPr>
        <w:t>☐  Semantic/metrics layer provides one truth</w:t>
      </w:r>
    </w:p>
    <w:p>
      <w:pPr>
        <w:ind w:left="288"/>
      </w:pPr>
      <w:r>
        <w:rPr>
          <w:sz w:val="19"/>
        </w:rPr>
        <w:t>☐  Metrics defined and certified centrally</w:t>
      </w:r>
    </w:p>
    <w:p>
      <w:pPr>
        <w:ind w:left="288"/>
      </w:pPr>
      <w:r>
        <w:rPr>
          <w:sz w:val="19"/>
        </w:rPr>
        <w:t>☐  BI governance policy in place</w:t>
      </w:r>
    </w:p>
    <w:p>
      <w:pPr>
        <w:ind w:left="288"/>
      </w:pPr>
      <w:r>
        <w:rPr>
          <w:sz w:val="19"/>
        </w:rPr>
        <w:t>☐  Dashboard design standard adopted</w:t>
      </w:r>
    </w:p>
    <w:p>
      <w:pPr>
        <w:ind w:left="288"/>
      </w:pPr>
      <w:r>
        <w:rPr>
          <w:sz w:val="19"/>
        </w:rPr>
        <w:t>☐  Self-service enabled for target users</w:t>
      </w:r>
    </w:p>
    <w:p>
      <w:pPr>
        <w:ind w:left="288"/>
      </w:pPr>
      <w:r>
        <w:rPr>
          <w:sz w:val="19"/>
        </w:rPr>
        <w:t>☐  Data literacy programme running</w:t>
      </w:r>
    </w:p>
    <w:p>
      <w:pPr>
        <w:ind w:left="288"/>
      </w:pPr>
      <w:r>
        <w:rPr>
          <w:sz w:val="19"/>
        </w:rPr>
        <w:t>☐  Adoption and value tracked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Data &amp; AI is governed through clear accountability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 / Audit Committee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 and appetite; oversees data &amp; AI risk and value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&amp; AI Governance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Sets standards, tiers AI, approves high-risk use, reviews oversight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Data/AI owners (1st line)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Own and manage data and AI in their area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office / AI risk (2nd line)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Internal Audit (3rd line)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data &amp; AI controls</w:t>
            </w:r>
          </w:p>
        </w:tc>
      </w:tr>
    </w:tbl>
    <w:p>
      <w:pPr>
        <w:pStyle w:val="Heading2"/>
      </w:pPr>
      <w:r>
        <w:t>Reporting Template</w:t>
      </w:r>
    </w:p>
    <w:p>
      <w:r>
        <w:rPr>
          <w:b w:val="0"/>
          <w:i w:val="0"/>
          <w:sz w:val="19"/>
        </w:rPr>
        <w:t>Standard report structure: executive summary · profile vs target (RAG) · key metrics · issues &amp; actions · decisions sought.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Self-service adoption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68%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≥70%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Targeted enablement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Report trust (certified)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≥90%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Data literacy completion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75%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≥80%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Run more cohorts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Value realised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BI maturity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Defined; adoption near target; certification strong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Trust in numbers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90% of reports from the certified semantic layer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Risk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Pockets of ungoverned spreadsheets remain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decommission of legacy reports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resource, not legal or regulatory advice. Calibrate scoring, tiers, policies and governance to your organisation, sector and applicable regulation. Data-protection items should be confirmed against the Nigeria Data Protection Act (NDPA) and other applicable law; AI-specific obligations should be confirmed against current and emerging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