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Generative AI Acceptable-Use Standard</w:t>
      </w:r>
    </w:p>
    <w:p>
      <w:r>
        <w:rPr>
          <w:i/>
          <w:color w:val="555555"/>
        </w:rPr>
        <w:t>Outliers Professionals — Data &amp; AI Centre™ · Policy · Free</w:t>
      </w:r>
    </w:p>
    <w:p>
      <w:r>
        <w:t>Resource ID: res_generative_ai_acceptable_use_standard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Generative AI Acceptable-Use Standard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Allowed Models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Data Sensitivity</w:t>
            </w:r>
          </w:p>
        </w:tc>
        <w:tc>
          <w:tcPr>
            <w:tcW w:type="dxa" w:w="1440"/>
          </w:tcPr>
          <w:p>
            <w:r>
              <w:rPr>
                <w:b/>
              </w:rPr>
              <w:t>Prompt Logging</w:t>
            </w:r>
          </w:p>
        </w:tc>
        <w:tc>
          <w:tcPr>
            <w:tcW w:type="dxa" w:w="1440"/>
          </w:tcPr>
          <w:p>
            <w:r>
              <w:rPr>
                <w:b/>
              </w:rPr>
              <w:t>Human Review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</w:tr>
      <w:tr>
        <w:tc>
          <w:tcPr>
            <w:tcW w:type="dxa" w:w="1440"/>
          </w:tcPr>
          <w:p>
            <w:r>
              <w:t>Internal knowledge Q&amp;A</w:t>
            </w:r>
          </w:p>
        </w:tc>
        <w:tc>
          <w:tcPr>
            <w:tcW w:type="dxa" w:w="1440"/>
          </w:tcPr>
          <w:p>
            <w:r>
              <w:t>Approved enterprise LLM</w:t>
            </w:r>
          </w:p>
        </w:tc>
        <w:tc>
          <w:tcPr>
            <w:tcW w:type="dxa" w:w="1440"/>
          </w:tcPr>
          <w:p>
            <w:r>
              <w:t>Internal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Sampled</w:t>
            </w:r>
          </w:p>
        </w:tc>
        <w:tc>
          <w:tcPr>
            <w:tcW w:type="dxa" w:w="1440"/>
          </w:tcPr>
          <w:p>
            <w:r>
              <w:t>Knowledge Mgmt</w:t>
            </w:r>
          </w:p>
        </w:tc>
      </w:tr>
      <w:tr>
        <w:tc>
          <w:tcPr>
            <w:tcW w:type="dxa" w:w="1440"/>
          </w:tcPr>
          <w:p>
            <w:r>
              <w:t>Customer-facing chatbot</w:t>
            </w:r>
          </w:p>
        </w:tc>
        <w:tc>
          <w:tcPr>
            <w:tcW w:type="dxa" w:w="1440"/>
          </w:tcPr>
          <w:p>
            <w:r>
              <w:t>Approved enterprise LLM</w:t>
            </w:r>
          </w:p>
        </w:tc>
        <w:tc>
          <w:tcPr>
            <w:tcW w:type="dxa" w:w="1440"/>
          </w:tcPr>
          <w:p>
            <w:r>
              <w:t>Confidential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100% Tier-3 outputs</w:t>
            </w:r>
          </w:p>
        </w:tc>
        <w:tc>
          <w:tcPr>
            <w:tcW w:type="dxa" w:w="1440"/>
          </w:tcPr>
          <w:p>
            <w:r>
              <w:t>Customer Ops</w:t>
            </w:r>
          </w:p>
        </w:tc>
      </w:tr>
      <w:tr>
        <w:tc>
          <w:tcPr>
            <w:tcW w:type="dxa" w:w="1440"/>
          </w:tcPr>
          <w:p>
            <w:r>
              <w:t>Code generation</w:t>
            </w:r>
          </w:p>
        </w:tc>
        <w:tc>
          <w:tcPr>
            <w:tcW w:type="dxa" w:w="1440"/>
          </w:tcPr>
          <w:p>
            <w:r>
              <w:t>Approved enterprise LLM</w:t>
            </w:r>
          </w:p>
        </w:tc>
        <w:tc>
          <w:tcPr>
            <w:tcW w:type="dxa" w:w="1440"/>
          </w:tcPr>
          <w:p>
            <w:r>
              <w:t>Internal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Peer review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