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Strategy Oversight Guide</w:t>
      </w:r>
    </w:p>
    <w:p>
      <w:r>
        <w:rPr>
          <w:i/>
          <w:color w:val="445577"/>
        </w:rPr>
        <w:t>Outliers Board Excellence Centre™ | Board Excellence Resource</w:t>
      </w:r>
    </w:p>
    <w:p/>
    <w:p>
      <w:pPr>
        <w:pStyle w:val="Heading1"/>
      </w:pPr>
      <w:r>
        <w:t>Purpose</w:t>
      </w:r>
    </w:p>
    <w:p>
      <w:r>
        <w:t>Strategy Oversight Guide provides strategic guidance to chairs, directors, committee members and company secretaries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Strategy Oversight Guide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Item</w:t>
            </w:r>
          </w:p>
        </w:tc>
        <w:tc>
          <w:tcPr>
            <w:tcW w:type="dxa" w:w="2160"/>
          </w:tcPr>
          <w:p>
            <w:r>
              <w:rPr>
                <w:b/>
              </w:rPr>
              <w:t>Owner</w:t>
            </w:r>
          </w:p>
        </w:tc>
        <w:tc>
          <w:tcPr>
            <w:tcW w:type="dxa" w:w="2160"/>
          </w:tcPr>
          <w:p>
            <w:r>
              <w:rPr>
                <w:b/>
              </w:rPr>
              <w:t>Status</w:t>
            </w:r>
          </w:p>
        </w:tc>
        <w:tc>
          <w:tcPr>
            <w:tcW w:type="dxa" w:w="2160"/>
          </w:tcPr>
          <w:p>
            <w:r>
              <w:rPr>
                <w:b/>
              </w:rPr>
              <w:t>Notes</w:t>
            </w:r>
          </w:p>
        </w:tc>
      </w:tr>
      <w:tr>
        <w:tc>
          <w:tcPr>
            <w:tcW w:type="dxa" w:w="2160"/>
          </w:tcPr>
          <w:p>
            <w:r>
              <w:t>Adoption by Board</w:t>
            </w:r>
          </w:p>
        </w:tc>
        <w:tc>
          <w:tcPr>
            <w:tcW w:type="dxa" w:w="2160"/>
          </w:tcPr>
          <w:p>
            <w:r>
              <w:t>Chair</w:t>
            </w:r>
          </w:p>
        </w:tc>
        <w:tc>
          <w:tcPr>
            <w:tcW w:type="dxa" w:w="2160"/>
          </w:tcPr>
          <w:p>
            <w:r>
              <w:t>Pending</w:t>
            </w:r>
          </w:p>
        </w:tc>
        <w:tc>
          <w:tcPr>
            <w:tcW w:type="dxa" w:w="2160"/>
          </w:tcPr>
          <w:p>
            <w:r>
              <w:t>Tabled at next meeting</w:t>
            </w:r>
          </w:p>
        </w:tc>
      </w:tr>
      <w:tr>
        <w:tc>
          <w:tcPr>
            <w:tcW w:type="dxa" w:w="2160"/>
          </w:tcPr>
          <w:p>
            <w:r>
              <w:t>Implementation by Management</w:t>
            </w:r>
          </w:p>
        </w:tc>
        <w:tc>
          <w:tcPr>
            <w:tcW w:type="dxa" w:w="2160"/>
          </w:tcPr>
          <w:p>
            <w:r>
              <w:t>CEO</w:t>
            </w:r>
          </w:p>
        </w:tc>
        <w:tc>
          <w:tcPr>
            <w:tcW w:type="dxa" w:w="2160"/>
          </w:tcPr>
          <w:p>
            <w:r>
              <w:t>In progress</w:t>
            </w:r>
          </w:p>
        </w:tc>
        <w:tc>
          <w:tcPr>
            <w:tcW w:type="dxa" w:w="2160"/>
          </w:tcPr>
          <w:p>
            <w:r/>
          </w:p>
        </w:tc>
      </w:tr>
      <w:tr>
        <w:tc>
          <w:tcPr>
            <w:tcW w:type="dxa" w:w="2160"/>
          </w:tcPr>
          <w:p>
            <w:r>
              <w:t>Assurance by Internal Audit</w:t>
            </w:r>
          </w:p>
        </w:tc>
        <w:tc>
          <w:tcPr>
            <w:tcW w:type="dxa" w:w="2160"/>
          </w:tcPr>
          <w:p>
            <w:r>
              <w:t>CAE</w:t>
            </w:r>
          </w:p>
        </w:tc>
        <w:tc>
          <w:tcPr>
            <w:tcW w:type="dxa" w:w="2160"/>
          </w:tcPr>
          <w:p>
            <w:r>
              <w:t>Planned</w:t>
            </w:r>
          </w:p>
        </w:tc>
        <w:tc>
          <w:tcPr>
            <w:tcW w:type="dxa" w:w="2160"/>
          </w:tcPr>
          <w:p>
            <w:r>
              <w:t>FY26 audit plan</w:t>
            </w:r>
          </w:p>
        </w:tc>
      </w:tr>
      <w:tr>
        <w:tc>
          <w:tcPr>
            <w:tcW w:type="dxa" w:w="2160"/>
          </w:tcPr>
          <w:p>
            <w:r>
              <w:t>Annual review</w:t>
            </w:r>
          </w:p>
        </w:tc>
        <w:tc>
          <w:tcPr>
            <w:tcW w:type="dxa" w:w="2160"/>
          </w:tcPr>
          <w:p>
            <w:r>
              <w:t>CoSec</w:t>
            </w:r>
          </w:p>
        </w:tc>
        <w:tc>
          <w:tcPr>
            <w:tcW w:type="dxa" w:w="2160"/>
          </w:tcPr>
          <w:p>
            <w:r>
              <w:t>Scheduled</w:t>
            </w:r>
          </w:p>
        </w:tc>
        <w:tc>
          <w:tcPr>
            <w:tcW w:type="dxa" w:w="2160"/>
          </w:tcPr>
          <w:p>
            <w:r>
              <w:t>Q4 each year</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