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Ethics Checklist</w:t>
      </w:r>
    </w:p>
    <w:p>
      <w:r>
        <w:rPr>
          <w:i/>
          <w:color w:val="555555"/>
        </w:rPr>
        <w:t>Outliers Professionals — Data &amp; AI Centre™ · Checklist · Free</w:t>
      </w:r>
    </w:p>
    <w:p>
      <w:r>
        <w:t>Resource ID: res_ai_ethics_checklist    |    Audience: Data/AI &amp; business leaders</w:t>
      </w:r>
    </w:p>
    <w:p/>
    <w:p>
      <w:pPr>
        <w:pStyle w:val="Heading1"/>
      </w:pPr>
      <w:r>
        <w:t>Purpose</w:t>
      </w:r>
    </w:p>
    <w:p>
      <w:r>
        <w:t>This checklist — AI Ethics Checklist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