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Climate Risk Report</w:t>
      </w:r>
    </w:p>
    <w:p>
      <w:pPr>
        <w:jc w:val="center"/>
      </w:pPr>
      <w:r>
        <w:rPr>
          <w:color w:val="C97B2C"/>
          <w:sz w:val="26"/>
        </w:rPr>
        <w:t>Climate-related risk report (TCFD/ISSB-aligned structure)</w:t>
      </w:r>
    </w:p>
    <w:p/>
    <w:p/>
    <w:p>
      <w:pPr>
        <w:jc w:val="center"/>
      </w:pPr>
      <w:r>
        <w:rPr>
          <w:color w:val="555555"/>
          <w:sz w:val="20"/>
        </w:rPr>
        <w:t>Board / ESG Committee / Risk  ·  Flagship Edition 2026</w:t>
      </w:r>
    </w:p>
    <w:p>
      <w:pPr>
        <w:jc w:val="center"/>
      </w:pPr>
      <w:r>
        <w:rPr>
          <w:i/>
          <w:color w:val="555555"/>
          <w:sz w:val="18"/>
        </w:rPr>
        <w:t>Outliers Professionals Ltd — ESG &amp; Sustainability Centre Resource Library</w:t>
      </w:r>
    </w:p>
    <w:p>
      <w:r>
        <w:br w:type="page"/>
      </w:r>
    </w:p>
    <w:p>
      <w:pPr>
        <w:pStyle w:val="Heading1"/>
      </w:pPr>
      <w:r>
        <w:t>1. Summary</w:t>
      </w:r>
    </w:p>
    <w:p>
      <w:r>
        <w:rPr>
          <w:b w:val="0"/>
          <w:i w:val="0"/>
          <w:sz w:val="20"/>
        </w:rPr>
        <w:t>[Overall climate-risk position and key messages, structured around governance, strategy, risk management, and metrics &amp; targets — aligned to TCFD/ISSB by name. No regulatory requirement is asserted; confirm against current standards.]</w:t>
      </w:r>
    </w:p>
    <w:p>
      <w:pPr>
        <w:pStyle w:val="Heading1"/>
      </w:pPr>
      <w:r>
        <w:t>2. Governance</w:t>
      </w:r>
    </w:p>
    <w:p>
      <w:r>
        <w:rPr>
          <w:b w:val="0"/>
          <w:i w:val="0"/>
          <w:sz w:val="20"/>
        </w:rPr>
        <w:t>[How the board and management oversee climate-related risks and opportunities.]</w:t>
      </w:r>
    </w:p>
    <w:p>
      <w:pPr>
        <w:pStyle w:val="Heading1"/>
      </w:pPr>
      <w:r>
        <w:t>3. Strategy &amp; Scenarios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168"/>
            <w:shd w:val="clear" w:fill="1B4D89"/>
          </w:tcPr>
          <w:p>
            <w:r/>
            <w:r>
              <w:rPr>
                <w:rFonts w:ascii="Arial" w:hAnsi="Arial"/>
                <w:b/>
                <w:color w:val="FFFFFF"/>
                <w:sz w:val="16"/>
              </w:rPr>
              <w:t>Scenario</w:t>
            </w:r>
          </w:p>
        </w:tc>
        <w:tc>
          <w:tcPr>
            <w:tcW w:type="dxa" w:w="1728"/>
            <w:shd w:val="clear" w:fill="1B4D89"/>
          </w:tcPr>
          <w:p>
            <w:r/>
            <w:r>
              <w:rPr>
                <w:rFonts w:ascii="Arial" w:hAnsi="Arial"/>
                <w:b/>
                <w:color w:val="FFFFFF"/>
                <w:sz w:val="16"/>
              </w:rPr>
              <w:t>Horizon</w:t>
            </w:r>
          </w:p>
        </w:tc>
        <w:tc>
          <w:tcPr>
            <w:tcW w:type="dxa" w:w="3456"/>
            <w:shd w:val="clear" w:fill="1B4D89"/>
          </w:tcPr>
          <w:p>
            <w:r/>
            <w:r>
              <w:rPr>
                <w:rFonts w:ascii="Arial" w:hAnsi="Arial"/>
                <w:b/>
                <w:color w:val="FFFFFF"/>
                <w:sz w:val="16"/>
              </w:rPr>
              <w:t>Key impact</w:t>
            </w:r>
          </w:p>
        </w:tc>
        <w:tc>
          <w:tcPr>
            <w:tcW w:type="dxa" w:w="3168"/>
            <w:shd w:val="clear" w:fill="1B4D89"/>
          </w:tcPr>
          <w:p>
            <w:r/>
            <w:r>
              <w:rPr>
                <w:rFonts w:ascii="Arial" w:hAnsi="Arial"/>
                <w:b/>
                <w:color w:val="FFFFFF"/>
                <w:sz w:val="16"/>
              </w:rPr>
              <w:t>Resilience</w:t>
            </w:r>
          </w:p>
        </w:tc>
      </w:tr>
      <w:tr>
        <w:tc>
          <w:tcPr>
            <w:tcW w:type="dxa" w:w="3168"/>
          </w:tcPr>
          <w:p>
            <w:r/>
            <w:r>
              <w:rPr>
                <w:rFonts w:ascii="Arial" w:hAnsi="Arial"/>
                <w:b w:val="0"/>
                <w:sz w:val="16"/>
              </w:rPr>
              <w:t>[orderly transition]</w:t>
            </w:r>
          </w:p>
        </w:tc>
        <w:tc>
          <w:tcPr>
            <w:tcW w:type="dxa" w:w="1728"/>
          </w:tcPr>
          <w:p>
            <w:r/>
            <w:r>
              <w:rPr>
                <w:rFonts w:ascii="Arial" w:hAnsi="Arial"/>
                <w:b w:val="0"/>
                <w:sz w:val="16"/>
              </w:rPr>
              <w:t>[medium]</w:t>
            </w:r>
          </w:p>
        </w:tc>
        <w:tc>
          <w:tcPr>
            <w:tcW w:type="dxa" w:w="3456"/>
          </w:tcPr>
          <w:p>
            <w:r/>
            <w:r>
              <w:rPr>
                <w:rFonts w:ascii="Arial" w:hAnsi="Arial"/>
                <w:b w:val="0"/>
                <w:sz w:val="16"/>
              </w:rPr>
              <w:t>[impact]</w:t>
            </w:r>
          </w:p>
        </w:tc>
        <w:tc>
          <w:tcPr>
            <w:tcW w:type="dxa" w:w="3168"/>
          </w:tcPr>
          <w:p>
            <w:r/>
            <w:r>
              <w:rPr>
                <w:rFonts w:ascii="Arial" w:hAnsi="Arial"/>
                <w:b w:val="0"/>
                <w:sz w:val="16"/>
              </w:rPr>
              <w:t>[response]</w:t>
            </w:r>
          </w:p>
        </w:tc>
      </w:tr>
      <w:tr>
        <w:tc>
          <w:tcPr>
            <w:tcW w:type="dxa" w:w="3168"/>
            <w:shd w:val="clear" w:fill="F4F7FB"/>
          </w:tcPr>
          <w:p>
            <w:r/>
            <w:r>
              <w:rPr>
                <w:rFonts w:ascii="Arial" w:hAnsi="Arial"/>
                <w:b w:val="0"/>
                <w:sz w:val="16"/>
              </w:rPr>
              <w:t>[disorderly / delayed]</w:t>
            </w:r>
          </w:p>
        </w:tc>
        <w:tc>
          <w:tcPr>
            <w:tcW w:type="dxa" w:w="1728"/>
            <w:shd w:val="clear" w:fill="F4F7FB"/>
          </w:tcPr>
          <w:p>
            <w:r/>
            <w:r>
              <w:rPr>
                <w:rFonts w:ascii="Arial" w:hAnsi="Arial"/>
                <w:b w:val="0"/>
                <w:sz w:val="16"/>
              </w:rPr>
              <w:t>[medium]</w:t>
            </w:r>
          </w:p>
        </w:tc>
        <w:tc>
          <w:tcPr>
            <w:tcW w:type="dxa" w:w="3456"/>
            <w:shd w:val="clear" w:fill="F4F7FB"/>
          </w:tcPr>
          <w:p>
            <w:r/>
            <w:r>
              <w:rPr>
                <w:rFonts w:ascii="Arial" w:hAnsi="Arial"/>
                <w:b w:val="0"/>
                <w:sz w:val="16"/>
              </w:rPr>
              <w:t>[impact]</w:t>
            </w:r>
          </w:p>
        </w:tc>
        <w:tc>
          <w:tcPr>
            <w:tcW w:type="dxa" w:w="3168"/>
            <w:shd w:val="clear" w:fill="F4F7FB"/>
          </w:tcPr>
          <w:p>
            <w:r/>
            <w:r>
              <w:rPr>
                <w:rFonts w:ascii="Arial" w:hAnsi="Arial"/>
                <w:b w:val="0"/>
                <w:sz w:val="16"/>
              </w:rPr>
              <w:t>[response]</w:t>
            </w:r>
          </w:p>
        </w:tc>
      </w:tr>
      <w:tr>
        <w:tc>
          <w:tcPr>
            <w:tcW w:type="dxa" w:w="3168"/>
          </w:tcPr>
          <w:p>
            <w:r/>
            <w:r>
              <w:rPr>
                <w:rFonts w:ascii="Arial" w:hAnsi="Arial"/>
                <w:b w:val="0"/>
                <w:sz w:val="16"/>
              </w:rPr>
              <w:t>[high physical risk]</w:t>
            </w:r>
          </w:p>
        </w:tc>
        <w:tc>
          <w:tcPr>
            <w:tcW w:type="dxa" w:w="1728"/>
          </w:tcPr>
          <w:p>
            <w:r/>
            <w:r>
              <w:rPr>
                <w:rFonts w:ascii="Arial" w:hAnsi="Arial"/>
                <w:b w:val="0"/>
                <w:sz w:val="16"/>
              </w:rPr>
              <w:t>[long]</w:t>
            </w:r>
          </w:p>
        </w:tc>
        <w:tc>
          <w:tcPr>
            <w:tcW w:type="dxa" w:w="3456"/>
          </w:tcPr>
          <w:p>
            <w:r/>
            <w:r>
              <w:rPr>
                <w:rFonts w:ascii="Arial" w:hAnsi="Arial"/>
                <w:b w:val="0"/>
                <w:sz w:val="16"/>
              </w:rPr>
              <w:t>[impact]</w:t>
            </w:r>
          </w:p>
        </w:tc>
        <w:tc>
          <w:tcPr>
            <w:tcW w:type="dxa" w:w="3168"/>
          </w:tcPr>
          <w:p>
            <w:r/>
            <w:r>
              <w:rPr>
                <w:rFonts w:ascii="Arial" w:hAnsi="Arial"/>
                <w:b w:val="0"/>
                <w:sz w:val="16"/>
              </w:rPr>
              <w:t>[response]</w:t>
            </w:r>
          </w:p>
        </w:tc>
      </w:tr>
    </w:tbl>
    <w:p>
      <w:pPr>
        <w:pStyle w:val="Heading1"/>
      </w:pPr>
      <w:r>
        <w:t>4. Climate Risks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Risk</w:t>
            </w:r>
          </w:p>
        </w:tc>
        <w:tc>
          <w:tcPr>
            <w:tcW w:type="dxa" w:w="2016"/>
            <w:shd w:val="clear" w:fill="1B4D89"/>
          </w:tcPr>
          <w:p>
            <w:r/>
            <w:r>
              <w:rPr>
                <w:rFonts w:ascii="Arial" w:hAnsi="Arial"/>
                <w:b/>
                <w:color w:val="FFFFFF"/>
                <w:sz w:val="16"/>
              </w:rPr>
              <w:t>Type</w:t>
            </w:r>
          </w:p>
        </w:tc>
        <w:tc>
          <w:tcPr>
            <w:tcW w:type="dxa" w:w="1728"/>
            <w:shd w:val="clear" w:fill="1B4D89"/>
          </w:tcPr>
          <w:p>
            <w:r/>
            <w:r>
              <w:rPr>
                <w:rFonts w:ascii="Arial" w:hAnsi="Arial"/>
                <w:b/>
                <w:color w:val="FFFFFF"/>
                <w:sz w:val="16"/>
              </w:rPr>
              <w:t>Rating</w:t>
            </w:r>
          </w:p>
        </w:tc>
        <w:tc>
          <w:tcPr>
            <w:tcW w:type="dxa" w:w="4032"/>
            <w:shd w:val="clear" w:fill="1B4D89"/>
          </w:tcPr>
          <w:p>
            <w:r/>
            <w:r>
              <w:rPr>
                <w:rFonts w:ascii="Arial" w:hAnsi="Arial"/>
                <w:b/>
                <w:color w:val="FFFFFF"/>
                <w:sz w:val="16"/>
              </w:rPr>
              <w:t>Response</w:t>
            </w:r>
          </w:p>
        </w:tc>
      </w:tr>
      <w:tr>
        <w:tc>
          <w:tcPr>
            <w:tcW w:type="dxa" w:w="3744"/>
          </w:tcPr>
          <w:p>
            <w:r/>
            <w:r>
              <w:rPr>
                <w:rFonts w:ascii="Arial" w:hAnsi="Arial"/>
                <w:b w:val="0"/>
                <w:sz w:val="16"/>
              </w:rPr>
              <w:t>Carbon pricing / policy</w:t>
            </w:r>
          </w:p>
        </w:tc>
        <w:tc>
          <w:tcPr>
            <w:tcW w:type="dxa" w:w="2016"/>
          </w:tcPr>
          <w:p>
            <w:r/>
            <w:r>
              <w:rPr>
                <w:rFonts w:ascii="Arial" w:hAnsi="Arial"/>
                <w:b w:val="0"/>
                <w:sz w:val="16"/>
              </w:rPr>
              <w:t>Transition</w:t>
            </w:r>
          </w:p>
        </w:tc>
        <w:tc>
          <w:tcPr>
            <w:tcW w:type="dxa" w:w="1728"/>
            <w:shd w:val="clear" w:fill="B23A48"/>
          </w:tcPr>
          <w:p>
            <w:pPr>
              <w:jc w:val="center"/>
            </w:pPr>
            <w:r/>
            <w:r>
              <w:rPr>
                <w:rFonts w:ascii="Arial" w:hAnsi="Arial"/>
                <w:b/>
                <w:color w:val="FFFFFF"/>
                <w:sz w:val="16"/>
              </w:rPr>
              <w:t>High</w:t>
            </w:r>
          </w:p>
        </w:tc>
        <w:tc>
          <w:tcPr>
            <w:tcW w:type="dxa" w:w="4032"/>
          </w:tcPr>
          <w:p>
            <w:r/>
            <w:r>
              <w:rPr>
                <w:rFonts w:ascii="Arial" w:hAnsi="Arial"/>
                <w:b w:val="0"/>
                <w:sz w:val="16"/>
              </w:rPr>
              <w:t>Mitigate</w:t>
            </w:r>
          </w:p>
        </w:tc>
      </w:tr>
      <w:tr>
        <w:tc>
          <w:tcPr>
            <w:tcW w:type="dxa" w:w="3744"/>
            <w:shd w:val="clear" w:fill="F4F7FB"/>
          </w:tcPr>
          <w:p>
            <w:r/>
            <w:r>
              <w:rPr>
                <w:rFonts w:ascii="Arial" w:hAnsi="Arial"/>
                <w:b w:val="0"/>
                <w:sz w:val="16"/>
              </w:rPr>
              <w:t>Acute physical</w:t>
            </w:r>
          </w:p>
        </w:tc>
        <w:tc>
          <w:tcPr>
            <w:tcW w:type="dxa" w:w="2016"/>
            <w:shd w:val="clear" w:fill="F4F7FB"/>
          </w:tcPr>
          <w:p>
            <w:r/>
            <w:r>
              <w:rPr>
                <w:rFonts w:ascii="Arial" w:hAnsi="Arial"/>
                <w:b w:val="0"/>
                <w:sz w:val="16"/>
              </w:rPr>
              <w:t>Physical</w:t>
            </w:r>
          </w:p>
        </w:tc>
        <w:tc>
          <w:tcPr>
            <w:tcW w:type="dxa" w:w="1728"/>
            <w:shd w:val="clear" w:fill="F4F7FB"/>
            <w:shd w:val="clear" w:fill="B23A48"/>
          </w:tcPr>
          <w:p>
            <w:pPr>
              <w:jc w:val="center"/>
            </w:pPr>
            <w:r/>
            <w:r>
              <w:rPr>
                <w:rFonts w:ascii="Arial" w:hAnsi="Arial"/>
                <w:b/>
                <w:color w:val="FFFFFF"/>
                <w:sz w:val="16"/>
              </w:rPr>
              <w:t>High</w:t>
            </w:r>
          </w:p>
        </w:tc>
        <w:tc>
          <w:tcPr>
            <w:tcW w:type="dxa" w:w="4032"/>
            <w:shd w:val="clear" w:fill="F4F7FB"/>
          </w:tcPr>
          <w:p>
            <w:r/>
            <w:r>
              <w:rPr>
                <w:rFonts w:ascii="Arial" w:hAnsi="Arial"/>
                <w:b w:val="0"/>
                <w:sz w:val="16"/>
              </w:rPr>
              <w:t>Adapt</w:t>
            </w:r>
          </w:p>
        </w:tc>
      </w:tr>
      <w:tr>
        <w:tc>
          <w:tcPr>
            <w:tcW w:type="dxa" w:w="3744"/>
          </w:tcPr>
          <w:p>
            <w:r/>
            <w:r>
              <w:rPr>
                <w:rFonts w:ascii="Arial" w:hAnsi="Arial"/>
                <w:b w:val="0"/>
                <w:sz w:val="16"/>
              </w:rPr>
              <w:t>Market shift</w:t>
            </w:r>
          </w:p>
        </w:tc>
        <w:tc>
          <w:tcPr>
            <w:tcW w:type="dxa" w:w="2016"/>
          </w:tcPr>
          <w:p>
            <w:r/>
            <w:r>
              <w:rPr>
                <w:rFonts w:ascii="Arial" w:hAnsi="Arial"/>
                <w:b w:val="0"/>
                <w:sz w:val="16"/>
              </w:rPr>
              <w:t>Transition</w:t>
            </w:r>
          </w:p>
        </w:tc>
        <w:tc>
          <w:tcPr>
            <w:tcW w:type="dxa" w:w="1728"/>
            <w:shd w:val="clear" w:fill="D4B106"/>
          </w:tcPr>
          <w:p>
            <w:pPr>
              <w:jc w:val="center"/>
            </w:pPr>
            <w:r/>
            <w:r>
              <w:rPr>
                <w:rFonts w:ascii="Arial" w:hAnsi="Arial"/>
                <w:b/>
                <w:color w:val="FFFFFF"/>
                <w:sz w:val="16"/>
              </w:rPr>
              <w:t>Medium</w:t>
            </w:r>
          </w:p>
        </w:tc>
        <w:tc>
          <w:tcPr>
            <w:tcW w:type="dxa" w:w="4032"/>
          </w:tcPr>
          <w:p>
            <w:r/>
            <w:r>
              <w:rPr>
                <w:rFonts w:ascii="Arial" w:hAnsi="Arial"/>
                <w:b w:val="0"/>
                <w:sz w:val="16"/>
              </w:rPr>
              <w:t>Adapt</w:t>
            </w:r>
          </w:p>
        </w:tc>
      </w:tr>
      <w:tr>
        <w:tc>
          <w:tcPr>
            <w:tcW w:type="dxa" w:w="3744"/>
            <w:shd w:val="clear" w:fill="F4F7FB"/>
          </w:tcPr>
          <w:p>
            <w:r/>
            <w:r>
              <w:rPr>
                <w:rFonts w:ascii="Arial" w:hAnsi="Arial"/>
                <w:b w:val="0"/>
                <w:sz w:val="16"/>
              </w:rPr>
              <w:t>Supply chain</w:t>
            </w:r>
          </w:p>
        </w:tc>
        <w:tc>
          <w:tcPr>
            <w:tcW w:type="dxa" w:w="2016"/>
            <w:shd w:val="clear" w:fill="F4F7FB"/>
          </w:tcPr>
          <w:p>
            <w:r/>
            <w:r>
              <w:rPr>
                <w:rFonts w:ascii="Arial" w:hAnsi="Arial"/>
                <w:b w:val="0"/>
                <w:sz w:val="16"/>
              </w:rPr>
              <w:t>Physical</w:t>
            </w:r>
          </w:p>
        </w:tc>
        <w:tc>
          <w:tcPr>
            <w:tcW w:type="dxa" w:w="1728"/>
            <w:shd w:val="clear" w:fill="F4F7FB"/>
            <w:shd w:val="clear" w:fill="D4B106"/>
          </w:tcPr>
          <w:p>
            <w:pPr>
              <w:jc w:val="center"/>
            </w:pPr>
            <w:r/>
            <w:r>
              <w:rPr>
                <w:rFonts w:ascii="Arial" w:hAnsi="Arial"/>
                <w:b/>
                <w:color w:val="FFFFFF"/>
                <w:sz w:val="16"/>
              </w:rPr>
              <w:t>Medium</w:t>
            </w:r>
          </w:p>
        </w:tc>
        <w:tc>
          <w:tcPr>
            <w:tcW w:type="dxa" w:w="4032"/>
            <w:shd w:val="clear" w:fill="F4F7FB"/>
          </w:tcPr>
          <w:p>
            <w:r/>
            <w:r>
              <w:rPr>
                <w:rFonts w:ascii="Arial" w:hAnsi="Arial"/>
                <w:b w:val="0"/>
                <w:sz w:val="16"/>
              </w:rPr>
              <w:t>Adapt</w:t>
            </w:r>
          </w:p>
        </w:tc>
      </w:tr>
    </w:tbl>
    <w:p>
      <w:pPr>
        <w:pStyle w:val="Heading1"/>
      </w:pPr>
      <w:r>
        <w:t>5. Metrics &amp; Targets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Metric</w:t>
            </w:r>
          </w:p>
        </w:tc>
        <w:tc>
          <w:tcPr>
            <w:tcW w:type="dxa" w:w="1728"/>
            <w:shd w:val="clear" w:fill="1B4D89"/>
          </w:tcPr>
          <w:p>
            <w:r/>
            <w:r>
              <w:rPr>
                <w:rFonts w:ascii="Arial" w:hAnsi="Arial"/>
                <w:b/>
                <w:color w:val="FFFFFF"/>
                <w:sz w:val="16"/>
              </w:rPr>
              <w:t>Current</w:t>
            </w:r>
          </w:p>
        </w:tc>
        <w:tc>
          <w:tcPr>
            <w:tcW w:type="dxa" w:w="2304"/>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Scope 1-2 emissions</w:t>
            </w:r>
          </w:p>
        </w:tc>
        <w:tc>
          <w:tcPr>
            <w:tcW w:type="dxa" w:w="1728"/>
          </w:tcPr>
          <w:p>
            <w:r/>
            <w:r>
              <w:rPr>
                <w:rFonts w:ascii="Arial" w:hAnsi="Arial"/>
                <w:b w:val="0"/>
                <w:sz w:val="16"/>
              </w:rPr>
              <w:t>[ ]</w:t>
            </w:r>
          </w:p>
        </w:tc>
        <w:tc>
          <w:tcPr>
            <w:tcW w:type="dxa" w:w="2304"/>
          </w:tcPr>
          <w:p>
            <w:r/>
            <w:r>
              <w:rPr>
                <w:rFonts w:ascii="Arial" w:hAnsi="Arial"/>
                <w:b w:val="0"/>
                <w:sz w:val="16"/>
              </w:rPr>
              <w:t>Net-zero pathway</w:t>
            </w:r>
          </w:p>
        </w:tc>
        <w:tc>
          <w:tcPr>
            <w:tcW w:type="dxa" w:w="1296"/>
            <w:shd w:val="clear" w:fill="E08A2B"/>
          </w:tcPr>
          <w:p>
            <w:pPr>
              <w:jc w:val="center"/>
            </w:pPr>
            <w:r/>
            <w:r>
              <w:rPr>
                <w:rFonts w:ascii="Arial" w:hAnsi="Arial"/>
                <w:b/>
                <w:color w:val="FFFFFF"/>
                <w:sz w:val="16"/>
              </w:rPr>
              <w:t>Amber</w:t>
            </w:r>
          </w:p>
        </w:tc>
      </w:tr>
      <w:tr>
        <w:tc>
          <w:tcPr>
            <w:tcW w:type="dxa" w:w="3744"/>
            <w:shd w:val="clear" w:fill="F4F7FB"/>
          </w:tcPr>
          <w:p>
            <w:r/>
            <w:r>
              <w:rPr>
                <w:rFonts w:ascii="Arial" w:hAnsi="Arial"/>
                <w:b w:val="0"/>
                <w:sz w:val="16"/>
              </w:rPr>
              <w:t>Scope 3 emissions</w:t>
            </w:r>
          </w:p>
        </w:tc>
        <w:tc>
          <w:tcPr>
            <w:tcW w:type="dxa" w:w="1728"/>
            <w:shd w:val="clear" w:fill="F4F7FB"/>
          </w:tcPr>
          <w:p>
            <w:r/>
            <w:r>
              <w:rPr>
                <w:rFonts w:ascii="Arial" w:hAnsi="Arial"/>
                <w:b w:val="0"/>
                <w:sz w:val="16"/>
              </w:rPr>
              <w:t>[ ]</w:t>
            </w:r>
          </w:p>
        </w:tc>
        <w:tc>
          <w:tcPr>
            <w:tcW w:type="dxa" w:w="2304"/>
            <w:shd w:val="clear" w:fill="F4F7FB"/>
          </w:tcPr>
          <w:p>
            <w:r/>
            <w:r>
              <w:rPr>
                <w:rFonts w:ascii="Arial" w:hAnsi="Arial"/>
                <w:b w:val="0"/>
                <w:sz w:val="16"/>
              </w:rPr>
              <w:t>Reducing</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Transition plan progress</w:t>
            </w:r>
          </w:p>
        </w:tc>
        <w:tc>
          <w:tcPr>
            <w:tcW w:type="dxa" w:w="1728"/>
          </w:tcPr>
          <w:p>
            <w:r/>
            <w:r>
              <w:rPr>
                <w:rFonts w:ascii="Arial" w:hAnsi="Arial"/>
                <w:b w:val="0"/>
                <w:sz w:val="16"/>
              </w:rPr>
              <w:t>[ ]</w:t>
            </w:r>
          </w:p>
        </w:tc>
        <w:tc>
          <w:tcPr>
            <w:tcW w:type="dxa" w:w="2304"/>
          </w:tcPr>
          <w:p>
            <w:r/>
            <w:r>
              <w:rPr>
                <w:rFonts w:ascii="Arial" w:hAnsi="Arial"/>
                <w:b w:val="0"/>
                <w:sz w:val="16"/>
              </w:rPr>
              <w:t>On plan</w:t>
            </w:r>
          </w:p>
        </w:tc>
        <w:tc>
          <w:tcPr>
            <w:tcW w:type="dxa" w:w="1296"/>
            <w:shd w:val="clear" w:fill="E08A2B"/>
          </w:tcPr>
          <w:p>
            <w:pPr>
              <w:jc w:val="center"/>
            </w:pPr>
            <w:r/>
            <w:r>
              <w:rPr>
                <w:rFonts w:ascii="Arial" w:hAnsi="Arial"/>
                <w:b/>
                <w:color w:val="FFFFFF"/>
                <w:sz w:val="16"/>
              </w:rPr>
              <w:t>Amber</w:t>
            </w:r>
          </w:p>
        </w:tc>
      </w:tr>
    </w:tbl>
    <w:p>
      <w:pPr>
        <w:pStyle w:val="Heading1"/>
      </w:pPr>
      <w:r>
        <w:t>6. Decisions Sought</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