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Three Lines Operating Model Template</w:t>
      </w:r>
    </w:p>
    <w:p>
      <w:r>
        <w:rPr>
          <w:color w:val="5A5A5A"/>
          <w:sz w:val="20"/>
        </w:rPr>
        <w:t>Template · Entitlement: Professional · Audience: Boards, auditors, finance, risk &amp; compliance</w:t>
      </w:r>
    </w:p>
    <w:p/>
    <w:p>
      <w:r>
        <w:t>Template — Three Lines Operating Model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“Three Lines Operating Model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fw_enterprise_control. Diagnostic assessment: asm_internal_control. Advisory service: svc_control_transformation.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