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Working Capital Toolkit™</w:t>
      </w:r>
    </w:p>
    <w:p>
      <w:pPr>
        <w:jc w:val="center"/>
      </w:pPr>
      <w:r>
        <w:rPr>
          <w:color w:val="C97B2C"/>
          <w:sz w:val="26"/>
        </w:rPr>
        <w:t>Release and protect cash</w:t>
      </w:r>
    </w:p>
    <w:p/>
    <w:p/>
    <w:p>
      <w:pPr>
        <w:jc w:val="center"/>
      </w:pPr>
      <w:r>
        <w:rPr>
          <w:color w:val="555555"/>
          <w:sz w:val="20"/>
        </w:rPr>
        <w:t>CFO / Treasury / Finance Team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releases and protects cash by improving receivables, payables and inventory, shortening the cash conversion cycle and forecasting cash reliably.</w:t>
      </w:r>
    </w:p>
    <w:p>
      <w:pPr>
        <w:pStyle w:val="Heading2"/>
      </w:pPr>
      <w:r>
        <w:t>Operating lifecycle</w:t>
      </w:r>
    </w:p>
    <w:p>
      <w:pPr>
        <w:pStyle w:val="ListNumber"/>
      </w:pPr>
      <w:r>
        <w:rPr>
          <w:sz w:val="19"/>
        </w:rPr>
        <w:t>Measure — DSO, DIO, DPO and the cash conversion cycle</w:t>
      </w:r>
    </w:p>
    <w:p>
      <w:pPr>
        <w:pStyle w:val="ListNumber"/>
      </w:pPr>
      <w:r>
        <w:rPr>
          <w:sz w:val="19"/>
        </w:rPr>
        <w:t>Receivables — accelerate collections</w:t>
      </w:r>
    </w:p>
    <w:p>
      <w:pPr>
        <w:pStyle w:val="ListNumber"/>
      </w:pPr>
      <w:r>
        <w:rPr>
          <w:sz w:val="19"/>
        </w:rPr>
        <w:t>Payables — optimise terms</w:t>
      </w:r>
    </w:p>
    <w:p>
      <w:pPr>
        <w:pStyle w:val="ListNumber"/>
      </w:pPr>
      <w:r>
        <w:rPr>
          <w:sz w:val="19"/>
        </w:rPr>
        <w:t>Inventory — right-size stock</w:t>
      </w:r>
    </w:p>
    <w:p>
      <w:pPr>
        <w:pStyle w:val="ListNumber"/>
      </w:pPr>
      <w:r>
        <w:rPr>
          <w:sz w:val="19"/>
        </w:rPr>
        <w:t>Forecast — reliable cash forecasting</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Receivables management</w:t>
      </w:r>
    </w:p>
    <w:p>
      <w:pPr>
        <w:pStyle w:val="ListBullet"/>
      </w:pPr>
      <w:r>
        <w:rPr>
          <w:sz w:val="19"/>
        </w:rPr>
        <w:t>Payables management</w:t>
      </w:r>
    </w:p>
    <w:p>
      <w:pPr>
        <w:pStyle w:val="ListBullet"/>
      </w:pPr>
      <w:r>
        <w:rPr>
          <w:sz w:val="19"/>
        </w:rPr>
        <w:t>Inventory &amp; WIP</w:t>
      </w:r>
    </w:p>
    <w:p>
      <w:pPr>
        <w:pStyle w:val="ListBullet"/>
      </w:pPr>
      <w:r>
        <w:rPr>
          <w:sz w:val="19"/>
        </w:rPr>
        <w:t>Cash conversion cycle</w:t>
      </w:r>
    </w:p>
    <w:p>
      <w:pPr>
        <w:pStyle w:val="ListBullet"/>
      </w:pPr>
      <w:r>
        <w:rPr>
          <w:sz w:val="19"/>
        </w:rPr>
        <w:t>Liquidity management</w:t>
      </w:r>
    </w:p>
    <w:p>
      <w:pPr>
        <w:pStyle w:val="ListBullet"/>
      </w:pPr>
      <w:r>
        <w:rPr>
          <w:sz w:val="19"/>
        </w:rPr>
        <w:t>Cash forecasting</w:t>
      </w:r>
    </w:p>
    <w:p>
      <w:pPr>
        <w:pStyle w:val="Heading1"/>
      </w:pPr>
      <w:r>
        <w:t>2. Templates &amp; Contents</w:t>
      </w:r>
    </w:p>
    <w:p>
      <w:pPr>
        <w:pStyle w:val="Heading3"/>
      </w:pPr>
      <w:r>
        <w:t>Working capital tracker</w:t>
      </w:r>
    </w:p>
    <w:p>
      <w:r>
        <w:rPr>
          <w:b w:val="0"/>
          <w:i w:val="0"/>
          <w:sz w:val="19"/>
        </w:rPr>
        <w:t>Track DSO/DIO/DPO and the cash conversion cycle (supplied as a working XLSX).</w:t>
      </w:r>
    </w:p>
    <w:p>
      <w:pPr>
        <w:pStyle w:val="Heading3"/>
      </w:pPr>
      <w:r>
        <w:t>13-week cash flow forecast</w:t>
      </w:r>
    </w:p>
    <w:p>
      <w:r>
        <w:rPr>
          <w:b w:val="0"/>
          <w:i w:val="0"/>
          <w:sz w:val="19"/>
        </w:rPr>
        <w:t>Rolling short-term cash forecast (supplied as a working XLSX).</w:t>
      </w:r>
    </w:p>
    <w:p>
      <w:pPr>
        <w:pStyle w:val="Heading3"/>
      </w:pPr>
      <w:r>
        <w:t>Receivables management toolkit</w:t>
      </w:r>
    </w:p>
    <w:p>
      <w:r>
        <w:rPr>
          <w:b w:val="0"/>
          <w:i w:val="0"/>
          <w:sz w:val="19"/>
        </w:rPr>
        <w:t>Practices to accelerate collections.</w:t>
      </w:r>
    </w:p>
    <w:p>
      <w:pPr>
        <w:pStyle w:val="Heading3"/>
      </w:pPr>
      <w:r>
        <w:t>Cash conversion cycle tracker</w:t>
      </w:r>
    </w:p>
    <w:p>
      <w:r>
        <w:rPr>
          <w:b w:val="0"/>
          <w:i w:val="0"/>
          <w:sz w:val="19"/>
        </w:rPr>
        <w:t>Monitor the cash conversion cycle over time.</w:t>
      </w:r>
    </w:p>
    <w:p>
      <w:pPr>
        <w:pStyle w:val="Heading1"/>
      </w:pPr>
      <w:r>
        <w:t>3. Checklists</w:t>
      </w:r>
    </w:p>
    <w:p>
      <w:pPr>
        <w:ind w:left="288"/>
      </w:pPr>
      <w:r>
        <w:rPr>
          <w:sz w:val="19"/>
        </w:rPr>
        <w:t>☐  DSO, DIO, DPO measured</w:t>
      </w:r>
    </w:p>
    <w:p>
      <w:pPr>
        <w:ind w:left="288"/>
      </w:pPr>
      <w:r>
        <w:rPr>
          <w:sz w:val="19"/>
        </w:rPr>
        <w:t>☐  Cash conversion cycle tracked</w:t>
      </w:r>
    </w:p>
    <w:p>
      <w:pPr>
        <w:ind w:left="288"/>
      </w:pPr>
      <w:r>
        <w:rPr>
          <w:sz w:val="19"/>
        </w:rPr>
        <w:t>☐  Receivables actively managed</w:t>
      </w:r>
    </w:p>
    <w:p>
      <w:pPr>
        <w:ind w:left="288"/>
      </w:pPr>
      <w:r>
        <w:rPr>
          <w:sz w:val="19"/>
        </w:rPr>
        <w:t>☐  Payables optimised</w:t>
      </w:r>
    </w:p>
    <w:p>
      <w:pPr>
        <w:ind w:left="288"/>
      </w:pPr>
      <w:r>
        <w:rPr>
          <w:sz w:val="19"/>
        </w:rPr>
        <w:t>☐  Inventory controlled</w:t>
      </w:r>
    </w:p>
    <w:p>
      <w:pPr>
        <w:ind w:left="288"/>
      </w:pPr>
      <w:r>
        <w:rPr>
          <w:sz w:val="19"/>
        </w:rPr>
        <w:t>☐  Cash forecast reliably</w:t>
      </w:r>
    </w:p>
    <w:p>
      <w:pPr>
        <w:ind w:left="288"/>
      </w:pPr>
      <w:r>
        <w:rPr>
          <w:sz w:val="19"/>
        </w:rPr>
        <w:t>☐  Cash-release opportunities pursued</w:t>
      </w:r>
    </w:p>
    <w:p>
      <w:pPr>
        <w:pStyle w:val="Heading2"/>
      </w:pPr>
      <w:r>
        <w:t>Governance Structure</w:t>
      </w:r>
    </w:p>
    <w:p>
      <w:r>
        <w:rPr>
          <w:b w:val="0"/>
          <w:i w:val="0"/>
          <w:sz w:val="20"/>
        </w:rPr>
        <w:t>Working capital is owned by the CFO and treasury, with business owners acting on the drivers:</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Cash conversion cycle</w:t>
            </w:r>
          </w:p>
        </w:tc>
        <w:tc>
          <w:tcPr>
            <w:tcW w:type="dxa" w:w="1440"/>
          </w:tcPr>
          <w:p>
            <w:r/>
            <w:r>
              <w:rPr>
                <w:rFonts w:ascii="Arial" w:hAnsi="Arial"/>
                <w:b w:val="0"/>
                <w:sz w:val="16"/>
              </w:rPr>
              <w:t>62 days</w:t>
            </w:r>
          </w:p>
        </w:tc>
        <w:tc>
          <w:tcPr>
            <w:tcW w:type="dxa" w:w="1728"/>
          </w:tcPr>
          <w:p>
            <w:r/>
            <w:r>
              <w:rPr>
                <w:rFonts w:ascii="Arial" w:hAnsi="Arial"/>
                <w:b w:val="0"/>
                <w:sz w:val="16"/>
              </w:rPr>
              <w:t>≤50 days</w:t>
            </w:r>
          </w:p>
        </w:tc>
        <w:tc>
          <w:tcPr>
            <w:tcW w:type="dxa" w:w="1152"/>
            <w:shd w:val="clear" w:fill="B23A48"/>
          </w:tcPr>
          <w:p>
            <w:pPr>
              <w:jc w:val="center"/>
            </w:pPr>
            <w:r/>
            <w:r>
              <w:rPr>
                <w:rFonts w:ascii="Arial" w:hAnsi="Arial"/>
                <w:b/>
                <w:color w:val="FFFFFF"/>
                <w:sz w:val="16"/>
              </w:rPr>
              <w:t>Red</w:t>
            </w:r>
          </w:p>
        </w:tc>
        <w:tc>
          <w:tcPr>
            <w:tcW w:type="dxa" w:w="3744"/>
          </w:tcPr>
          <w:p>
            <w:r/>
            <w:r>
              <w:rPr>
                <w:rFonts w:ascii="Arial" w:hAnsi="Arial"/>
                <w:b w:val="0"/>
                <w:sz w:val="16"/>
              </w:rPr>
              <w:t>Release cash</w:t>
            </w:r>
          </w:p>
        </w:tc>
      </w:tr>
      <w:tr>
        <w:tc>
          <w:tcPr>
            <w:tcW w:type="dxa" w:w="2880"/>
            <w:shd w:val="clear" w:fill="F4F7FB"/>
          </w:tcPr>
          <w:p>
            <w:r/>
            <w:r>
              <w:rPr>
                <w:rFonts w:ascii="Arial" w:hAnsi="Arial"/>
                <w:b w:val="0"/>
                <w:sz w:val="16"/>
              </w:rPr>
              <w:t>DSO</w:t>
            </w:r>
          </w:p>
        </w:tc>
        <w:tc>
          <w:tcPr>
            <w:tcW w:type="dxa" w:w="1440"/>
            <w:shd w:val="clear" w:fill="F4F7FB"/>
          </w:tcPr>
          <w:p>
            <w:r/>
            <w:r>
              <w:rPr>
                <w:rFonts w:ascii="Arial" w:hAnsi="Arial"/>
                <w:b w:val="0"/>
                <w:sz w:val="16"/>
              </w:rPr>
              <w:t>58 days</w:t>
            </w:r>
          </w:p>
        </w:tc>
        <w:tc>
          <w:tcPr>
            <w:tcW w:type="dxa" w:w="1728"/>
            <w:shd w:val="clear" w:fill="F4F7FB"/>
          </w:tcPr>
          <w:p>
            <w:r/>
            <w:r>
              <w:rPr>
                <w:rFonts w:ascii="Arial" w:hAnsi="Arial"/>
                <w:b w:val="0"/>
                <w:sz w:val="16"/>
              </w:rPr>
              <w:t>≤45 days</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 collections</w:t>
            </w:r>
          </w:p>
        </w:tc>
      </w:tr>
      <w:tr>
        <w:tc>
          <w:tcPr>
            <w:tcW w:type="dxa" w:w="2880"/>
          </w:tcPr>
          <w:p>
            <w:r/>
            <w:r>
              <w:rPr>
                <w:rFonts w:ascii="Arial" w:hAnsi="Arial"/>
                <w:b w:val="0"/>
                <w:sz w:val="16"/>
              </w:rPr>
              <w:t>Cash forecast accuracy</w:t>
            </w:r>
          </w:p>
        </w:tc>
        <w:tc>
          <w:tcPr>
            <w:tcW w:type="dxa" w:w="1440"/>
          </w:tcPr>
          <w:p>
            <w:r/>
            <w:r>
              <w:rPr>
                <w:rFonts w:ascii="Arial" w:hAnsi="Arial"/>
                <w:b w:val="0"/>
                <w:sz w:val="16"/>
              </w:rPr>
              <w:t>On plan</w:t>
            </w:r>
          </w:p>
        </w:tc>
        <w:tc>
          <w:tcPr>
            <w:tcW w:type="dxa" w:w="1728"/>
          </w:tcPr>
          <w:p>
            <w:r/>
            <w:r>
              <w:rPr>
                <w:rFonts w:ascii="Arial" w:hAnsi="Arial"/>
                <w:b w:val="0"/>
                <w:sz w:val="16"/>
              </w:rPr>
              <w:t>≤10% var</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Cash released (₦m)</w:t>
            </w:r>
          </w:p>
        </w:tc>
        <w:tc>
          <w:tcPr>
            <w:tcW w:type="dxa" w:w="1440"/>
            <w:shd w:val="clear" w:fill="F4F7FB"/>
          </w:tcPr>
          <w:p>
            <w:r/>
            <w:r>
              <w:rPr>
                <w:rFonts w:ascii="Arial" w:hAnsi="Arial"/>
                <w:b w:val="0"/>
                <w:sz w:val="16"/>
              </w:rPr>
              <w:t>On plan</w:t>
            </w:r>
          </w:p>
        </w:tc>
        <w:tc>
          <w:tcPr>
            <w:tcW w:type="dxa" w:w="1728"/>
            <w:shd w:val="clear" w:fill="F4F7FB"/>
          </w:tcPr>
          <w:p>
            <w:r/>
            <w:r>
              <w:rPr>
                <w:rFonts w:ascii="Arial" w:hAnsi="Arial"/>
                <w:b w:val="0"/>
                <w:sz w:val="16"/>
              </w:rPr>
              <w:t>On plan</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Working capital</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Cash tied up; release programme underway</w:t>
            </w:r>
          </w:p>
        </w:tc>
      </w:tr>
      <w:tr>
        <w:tc>
          <w:tcPr>
            <w:tcW w:type="dxa" w:w="2736"/>
            <w:shd w:val="clear" w:fill="F4F7FB"/>
          </w:tcPr>
          <w:p>
            <w:r/>
            <w:r>
              <w:rPr>
                <w:rFonts w:ascii="Arial" w:hAnsi="Arial"/>
                <w:b w:val="0"/>
                <w:sz w:val="16"/>
              </w:rPr>
              <w:t>Receivables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DSO above target</w:t>
            </w:r>
          </w:p>
        </w:tc>
      </w:tr>
      <w:tr>
        <w:tc>
          <w:tcPr>
            <w:tcW w:type="dxa" w:w="2736"/>
          </w:tcPr>
          <w:p>
            <w:r/>
            <w:r>
              <w:rPr>
                <w:rFonts w:ascii="Arial" w:hAnsi="Arial"/>
                <w:b w:val="0"/>
                <w:sz w:val="16"/>
              </w:rPr>
              <w:t>Cash visibility</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Forecast accuracy good</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cash-release programme</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