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Pr>
        <w:jc w:val="center"/>
      </w:pPr>
      <w:r>
        <w:rPr>
          <w:b/>
          <w:color w:val="1B4D89"/>
          <w:sz w:val="24"/>
        </w:rPr>
        <w:t>OUTLIERS CFO EXCELLENCE CENTRE™</w:t>
      </w:r>
    </w:p>
    <w:p>
      <w:pPr>
        <w:jc w:val="center"/>
      </w:pPr>
      <w:r>
        <w:rPr>
          <w:b/>
          <w:color w:val="10243F"/>
          <w:sz w:val="52"/>
        </w:rPr>
        <w:t>Nigeria Tax Act 2025</w:t>
      </w:r>
    </w:p>
    <w:p>
      <w:pPr>
        <w:jc w:val="center"/>
      </w:pPr>
      <w:r>
        <w:rPr>
          <w:color w:val="555555"/>
          <w:sz w:val="26"/>
        </w:rPr>
        <w:t>Executive Guide for CFOs &amp; Boards</w:t>
      </w:r>
    </w:p>
    <w:p/>
    <w:p>
      <w:pPr>
        <w:jc w:val="center"/>
      </w:pPr>
      <w:r>
        <w:rPr>
          <w:color w:val="555555"/>
          <w:sz w:val="20"/>
        </w:rPr>
        <w:t>Tax Excellence  ·  CFO / Board / Tax Lead  ·  Access Tier T2  ·  Edition 2026</w:t>
      </w:r>
    </w:p>
    <w:p>
      <w:pPr>
        <w:jc w:val="center"/>
      </w:pPr>
      <w:r>
        <w:rPr>
          <w:i/>
          <w:color w:val="555555"/>
          <w:sz w:val="18"/>
        </w:rPr>
        <w:t>Regime: Nigeria Tax Act 2025 (NTA 2025) &amp; Nigeria Tax Administration Act 2025 — administered by the Nigeria Revenue Service (NRS)</w:t>
      </w:r>
    </w:p>
    <w:p>
      <w:r>
        <w:br w:type="page"/>
      </w:r>
    </w:p>
    <w:p>
      <w:r>
        <w:rPr>
          <w:b/>
          <w:color w:val="B23A48"/>
          <w:sz w:val="21"/>
        </w:rPr>
        <w:t>⚠ IMPORTANT — VERIFICATION &amp; LEGAL STATUS</w:t>
      </w:r>
    </w:p>
    <w:p>
      <w:r>
        <w:rPr>
          <w:i/>
          <w:sz w:val="18"/>
        </w:rPr>
        <w:t>This resource is implementation content for management use; it is NOT legal or tax advice and is not a substitute for a licensed Nigerian tax practitioner (CITN). The Nigeria Tax Act 2025 took effect on 1 January 2026 and continues to be clarified by NRS regulations and circulars. Every rate, threshold, band and date stated here is INDICATIVE and must be verified against the enacted Acts and current NRS / State IRS guidance before reliance. The Nigeria Revenue Service (NRS) replaces the FIRS from 2026.</w:t>
      </w:r>
    </w:p>
    <w:p>
      <w:pPr>
        <w:pStyle w:val="Heading1"/>
      </w:pPr>
      <w:r>
        <w:t>1. The Reform at a Glance</w:t>
      </w:r>
    </w:p>
    <w:p>
      <w:r>
        <w:rPr>
          <w:sz w:val="21"/>
        </w:rPr>
        <w:t>Nigeria's 2025 tax reform consolidates decades of fragmented tax law into a modern framework effective 1 January 2026. For finance leaders it changes how companies are classified and taxed, how VAT is recovered, how individuals are taxed through PAYE, how the largest groups face a minimum tax, and how invoices are reported to the revenue authority in real time. This guide orients the executive team to what changed and what to do about it.</w:t>
      </w:r>
    </w:p>
    <w:p>
      <w:pPr>
        <w:pStyle w:val="Heading2"/>
      </w:pPr>
      <w:r>
        <w:t>The constituent Acts</w:t>
      </w:r>
    </w:p>
    <w:tbl>
      <w:tblPr>
        <w:tblStyle w:val="TableGrid"/>
        <w:tblW w:type="auto" w:w="0"/>
        <w:jc w:val="center"/>
        <w:tblLook w:firstColumn="1" w:firstRow="1" w:lastColumn="0" w:lastRow="0" w:noHBand="0" w:noVBand="1" w:val="04A0"/>
      </w:tblPr>
      <w:tblGrid>
        <w:gridCol w:w="4824"/>
        <w:gridCol w:w="4824"/>
      </w:tblGrid>
      <w:tr>
        <w:tc>
          <w:tcPr>
            <w:tcW w:type="dxa" w:w="3744"/>
            <w:shd w:val="clear" w:fill="1B4D89"/>
          </w:tcPr>
          <w:p>
            <w:r/>
            <w:r>
              <w:rPr>
                <w:rFonts w:ascii="Arial" w:hAnsi="Arial"/>
                <w:b/>
                <w:color w:val="FFFFFF"/>
                <w:sz w:val="18"/>
              </w:rPr>
              <w:t>Act</w:t>
            </w:r>
          </w:p>
        </w:tc>
        <w:tc>
          <w:tcPr>
            <w:tcW w:type="dxa" w:w="7776"/>
            <w:shd w:val="clear" w:fill="1B4D89"/>
          </w:tcPr>
          <w:p>
            <w:r/>
            <w:r>
              <w:rPr>
                <w:rFonts w:ascii="Arial" w:hAnsi="Arial"/>
                <w:b/>
                <w:color w:val="FFFFFF"/>
                <w:sz w:val="18"/>
              </w:rPr>
              <w:t>What it does</w:t>
            </w:r>
          </w:p>
        </w:tc>
      </w:tr>
      <w:tr>
        <w:tc>
          <w:tcPr>
            <w:tcW w:type="dxa" w:w="3744"/>
          </w:tcPr>
          <w:p>
            <w:r/>
            <w:r>
              <w:rPr>
                <w:rFonts w:ascii="Arial" w:hAnsi="Arial"/>
                <w:b w:val="0"/>
                <w:sz w:val="18"/>
              </w:rPr>
              <w:t>Nigeria Tax Act (NTA) 2025</w:t>
            </w:r>
          </w:p>
        </w:tc>
        <w:tc>
          <w:tcPr>
            <w:tcW w:type="dxa" w:w="7776"/>
          </w:tcPr>
          <w:p>
            <w:r/>
            <w:r>
              <w:rPr>
                <w:rFonts w:ascii="Arial" w:hAnsi="Arial"/>
                <w:b w:val="0"/>
                <w:sz w:val="18"/>
              </w:rPr>
              <w:t>Consolidates the principal charging provisions — companies income tax, personal income tax, VAT, capital gains, the Development Levy and related taxes.</w:t>
            </w:r>
          </w:p>
        </w:tc>
      </w:tr>
      <w:tr>
        <w:tc>
          <w:tcPr>
            <w:tcW w:type="dxa" w:w="3744"/>
            <w:shd w:val="clear" w:fill="F6F8FB"/>
          </w:tcPr>
          <w:p>
            <w:r/>
            <w:r>
              <w:rPr>
                <w:rFonts w:ascii="Arial" w:hAnsi="Arial"/>
                <w:b w:val="0"/>
                <w:sz w:val="18"/>
              </w:rPr>
              <w:t>Nigeria Tax Administration Act (NTAA) 2025</w:t>
            </w:r>
          </w:p>
        </w:tc>
        <w:tc>
          <w:tcPr>
            <w:tcW w:type="dxa" w:w="7776"/>
            <w:shd w:val="clear" w:fill="F6F8FB"/>
          </w:tcPr>
          <w:p>
            <w:r/>
            <w:r>
              <w:rPr>
                <w:rFonts w:ascii="Arial" w:hAnsi="Arial"/>
                <w:b w:val="0"/>
                <w:sz w:val="18"/>
              </w:rPr>
              <w:t>Harmonises administration, filing, assessment, penalties, dispute resolution and e-invoicing across taxes.</w:t>
            </w:r>
          </w:p>
        </w:tc>
      </w:tr>
      <w:tr>
        <w:tc>
          <w:tcPr>
            <w:tcW w:type="dxa" w:w="3744"/>
          </w:tcPr>
          <w:p>
            <w:r/>
            <w:r>
              <w:rPr>
                <w:rFonts w:ascii="Arial" w:hAnsi="Arial"/>
                <w:b w:val="0"/>
                <w:sz w:val="18"/>
              </w:rPr>
              <w:t>Nigeria Revenue Service (Establishment) Act</w:t>
            </w:r>
          </w:p>
        </w:tc>
        <w:tc>
          <w:tcPr>
            <w:tcW w:type="dxa" w:w="7776"/>
          </w:tcPr>
          <w:p>
            <w:r/>
            <w:r>
              <w:rPr>
                <w:rFonts w:ascii="Arial" w:hAnsi="Arial"/>
                <w:b w:val="0"/>
                <w:sz w:val="18"/>
              </w:rPr>
              <w:t>Creates the Nigeria Revenue Service (NRS), replacing the FIRS as the federal revenue authority.</w:t>
            </w:r>
          </w:p>
        </w:tc>
      </w:tr>
      <w:tr>
        <w:tc>
          <w:tcPr>
            <w:tcW w:type="dxa" w:w="3744"/>
            <w:shd w:val="clear" w:fill="F6F8FB"/>
          </w:tcPr>
          <w:p>
            <w:r/>
            <w:r>
              <w:rPr>
                <w:rFonts w:ascii="Arial" w:hAnsi="Arial"/>
                <w:b w:val="0"/>
                <w:sz w:val="18"/>
              </w:rPr>
              <w:t>Joint Revenue Board Act</w:t>
            </w:r>
          </w:p>
        </w:tc>
        <w:tc>
          <w:tcPr>
            <w:tcW w:type="dxa" w:w="7776"/>
            <w:shd w:val="clear" w:fill="F6F8FB"/>
          </w:tcPr>
          <w:p>
            <w:r/>
            <w:r>
              <w:rPr>
                <w:rFonts w:ascii="Arial" w:hAnsi="Arial"/>
                <w:b w:val="0"/>
                <w:sz w:val="18"/>
              </w:rPr>
              <w:t>Coordinates federal and state revenue administration and taxpayer services.</w:t>
            </w:r>
          </w:p>
        </w:tc>
      </w:tr>
    </w:tbl>
    <w:p>
      <w:r>
        <w:rPr>
          <w:sz w:val="21"/>
        </w:rPr>
        <w:t>Effective date: 1 January 2026. Transitional provisions apply to in-flight accounting periods, reliefs and prior-year positions — confirm the treatment of your specific year-end with your advisor.</w:t>
      </w:r>
    </w:p>
    <w:p>
      <w:pPr>
        <w:pStyle w:val="Heading1"/>
      </w:pPr>
      <w:r>
        <w:t>2. Companies Income Tax (CIT)</w:t>
      </w:r>
    </w:p>
    <w:p>
      <w:pPr>
        <w:pStyle w:val="Heading2"/>
      </w:pPr>
      <w:r>
        <w:t>Company size now drives the tax outcome</w:t>
      </w:r>
    </w:p>
    <w:p>
      <w:r>
        <w:rPr>
          <w:sz w:val="21"/>
        </w:rPr>
        <w:t>The reform ties a company's tax treatment to its size. Small companies enjoy a 0% CIT rate; medium and large companies pay the headline rate. Classification is tested each year on turnover (and, where retained, a fixed-asset test).</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48"/>
            <w:shd w:val="clear" w:fill="1B4D89"/>
          </w:tcPr>
          <w:p>
            <w:r/>
            <w:r>
              <w:rPr>
                <w:rFonts w:ascii="Arial" w:hAnsi="Arial"/>
                <w:b/>
                <w:color w:val="FFFFFF"/>
                <w:sz w:val="18"/>
              </w:rPr>
              <w:t>Classification</w:t>
            </w:r>
          </w:p>
        </w:tc>
        <w:tc>
          <w:tcPr>
            <w:tcW w:type="dxa" w:w="4464"/>
            <w:shd w:val="clear" w:fill="1B4D89"/>
          </w:tcPr>
          <w:p>
            <w:r/>
            <w:r>
              <w:rPr>
                <w:rFonts w:ascii="Arial" w:hAnsi="Arial"/>
                <w:b/>
                <w:color w:val="FFFFFF"/>
                <w:sz w:val="18"/>
              </w:rPr>
              <w:t>Indicative basis (verify)</w:t>
            </w:r>
          </w:p>
        </w:tc>
        <w:tc>
          <w:tcPr>
            <w:tcW w:type="dxa" w:w="2304"/>
            <w:shd w:val="clear" w:fill="1B4D89"/>
          </w:tcPr>
          <w:p>
            <w:r/>
            <w:r>
              <w:rPr>
                <w:rFonts w:ascii="Arial" w:hAnsi="Arial"/>
                <w:b/>
                <w:color w:val="FFFFFF"/>
                <w:sz w:val="18"/>
              </w:rPr>
              <w:t>CIT position</w:t>
            </w:r>
          </w:p>
        </w:tc>
        <w:tc>
          <w:tcPr>
            <w:tcW w:type="dxa" w:w="2304"/>
            <w:shd w:val="clear" w:fill="1B4D89"/>
          </w:tcPr>
          <w:p>
            <w:r/>
            <w:r>
              <w:rPr>
                <w:rFonts w:ascii="Arial" w:hAnsi="Arial"/>
                <w:b/>
                <w:color w:val="FFFFFF"/>
                <w:sz w:val="18"/>
              </w:rPr>
              <w:t>Development Levy</w:t>
            </w:r>
          </w:p>
        </w:tc>
      </w:tr>
      <w:tr>
        <w:tc>
          <w:tcPr>
            <w:tcW w:type="dxa" w:w="2448"/>
          </w:tcPr>
          <w:p>
            <w:r/>
            <w:r>
              <w:rPr>
                <w:rFonts w:ascii="Arial" w:hAnsi="Arial"/>
                <w:b w:val="0"/>
                <w:sz w:val="18"/>
              </w:rPr>
              <w:t>Small</w:t>
            </w:r>
          </w:p>
        </w:tc>
        <w:tc>
          <w:tcPr>
            <w:tcW w:type="dxa" w:w="4464"/>
          </w:tcPr>
          <w:p>
            <w:r/>
            <w:r>
              <w:rPr>
                <w:rFonts w:ascii="Arial" w:hAnsi="Arial"/>
                <w:b w:val="0"/>
                <w:sz w:val="18"/>
              </w:rPr>
              <w:t>Turnover ≤ ₦100m and fixed assets ≤ ₦250m</w:t>
            </w:r>
          </w:p>
        </w:tc>
        <w:tc>
          <w:tcPr>
            <w:tcW w:type="dxa" w:w="2304"/>
          </w:tcPr>
          <w:p>
            <w:r/>
            <w:r>
              <w:rPr>
                <w:rFonts w:ascii="Arial" w:hAnsi="Arial"/>
                <w:b w:val="0"/>
                <w:sz w:val="18"/>
              </w:rPr>
              <w:t>0%</w:t>
            </w:r>
          </w:p>
        </w:tc>
        <w:tc>
          <w:tcPr>
            <w:tcW w:type="dxa" w:w="2304"/>
          </w:tcPr>
          <w:p>
            <w:r/>
            <w:r>
              <w:rPr>
                <w:rFonts w:ascii="Arial" w:hAnsi="Arial"/>
                <w:b w:val="0"/>
                <w:sz w:val="18"/>
              </w:rPr>
              <w:t>Exempt</w:t>
            </w:r>
          </w:p>
        </w:tc>
      </w:tr>
      <w:tr>
        <w:tc>
          <w:tcPr>
            <w:tcW w:type="dxa" w:w="2448"/>
            <w:shd w:val="clear" w:fill="F6F8FB"/>
          </w:tcPr>
          <w:p>
            <w:r/>
            <w:r>
              <w:rPr>
                <w:rFonts w:ascii="Arial" w:hAnsi="Arial"/>
                <w:b w:val="0"/>
                <w:sz w:val="18"/>
              </w:rPr>
              <w:t>Medium</w:t>
            </w:r>
          </w:p>
        </w:tc>
        <w:tc>
          <w:tcPr>
            <w:tcW w:type="dxa" w:w="4464"/>
            <w:shd w:val="clear" w:fill="F6F8FB"/>
          </w:tcPr>
          <w:p>
            <w:r/>
            <w:r>
              <w:rPr>
                <w:rFonts w:ascii="Arial" w:hAnsi="Arial"/>
                <w:b w:val="0"/>
                <w:sz w:val="18"/>
              </w:rPr>
              <w:t>Turnover above small ceiling, below ₦20bn</w:t>
            </w:r>
          </w:p>
        </w:tc>
        <w:tc>
          <w:tcPr>
            <w:tcW w:type="dxa" w:w="2304"/>
            <w:shd w:val="clear" w:fill="F6F8FB"/>
          </w:tcPr>
          <w:p>
            <w:r/>
            <w:r>
              <w:rPr>
                <w:rFonts w:ascii="Arial" w:hAnsi="Arial"/>
                <w:b w:val="0"/>
                <w:sz w:val="18"/>
              </w:rPr>
              <w:t>Headline CIT rate</w:t>
            </w:r>
          </w:p>
        </w:tc>
        <w:tc>
          <w:tcPr>
            <w:tcW w:type="dxa" w:w="2304"/>
            <w:shd w:val="clear" w:fill="F6F8FB"/>
          </w:tcPr>
          <w:p>
            <w:r/>
            <w:r>
              <w:rPr>
                <w:rFonts w:ascii="Arial" w:hAnsi="Arial"/>
                <w:b w:val="0"/>
                <w:sz w:val="18"/>
              </w:rPr>
              <w:t>4% of assessable profit</w:t>
            </w:r>
          </w:p>
        </w:tc>
      </w:tr>
      <w:tr>
        <w:tc>
          <w:tcPr>
            <w:tcW w:type="dxa" w:w="2448"/>
          </w:tcPr>
          <w:p>
            <w:r/>
            <w:r>
              <w:rPr>
                <w:rFonts w:ascii="Arial" w:hAnsi="Arial"/>
                <w:b w:val="0"/>
                <w:sz w:val="18"/>
              </w:rPr>
              <w:t>Large</w:t>
            </w:r>
          </w:p>
        </w:tc>
        <w:tc>
          <w:tcPr>
            <w:tcW w:type="dxa" w:w="4464"/>
          </w:tcPr>
          <w:p>
            <w:r/>
            <w:r>
              <w:rPr>
                <w:rFonts w:ascii="Arial" w:hAnsi="Arial"/>
                <w:b w:val="0"/>
                <w:sz w:val="18"/>
              </w:rPr>
              <w:t>Turnover ≥ ₦20bn</w:t>
            </w:r>
          </w:p>
        </w:tc>
        <w:tc>
          <w:tcPr>
            <w:tcW w:type="dxa" w:w="2304"/>
          </w:tcPr>
          <w:p>
            <w:r/>
            <w:r>
              <w:rPr>
                <w:rFonts w:ascii="Arial" w:hAnsi="Arial"/>
                <w:b w:val="0"/>
                <w:sz w:val="18"/>
              </w:rPr>
              <w:t>Headline CIT rate</w:t>
            </w:r>
          </w:p>
        </w:tc>
        <w:tc>
          <w:tcPr>
            <w:tcW w:type="dxa" w:w="2304"/>
          </w:tcPr>
          <w:p>
            <w:r/>
            <w:r>
              <w:rPr>
                <w:rFonts w:ascii="Arial" w:hAnsi="Arial"/>
                <w:b w:val="0"/>
                <w:sz w:val="18"/>
              </w:rPr>
              <w:t>4% of assessable profit</w:t>
            </w:r>
          </w:p>
        </w:tc>
      </w:tr>
    </w:tbl>
    <w:p>
      <w:r>
        <w:rPr>
          <w:sz w:val="21"/>
        </w:rPr>
        <w:t>The small-company turnover ceiling was raised under the reform; confirm whether the fixed-asset test and any activity exclusions (e.g. for professional-services firms) apply to you. The headline CIT rate and any phased reduction must be confirmed against the enacted Act.</w:t>
      </w:r>
    </w:p>
    <w:p>
      <w:pPr>
        <w:pStyle w:val="Heading1"/>
      </w:pPr>
      <w:r>
        <w:t>3. The Development Levy (4%)</w:t>
      </w:r>
    </w:p>
    <w:p>
      <w:r>
        <w:rPr>
          <w:sz w:val="21"/>
        </w:rPr>
        <w:t>A single Development Levy replaces and consolidates several former levies — including the Tertiary Education Tax, the NASENI levy, the Police Trust Fund levy and the NITDA levy. It is charged at an indicative 4% of assessable profit. Small companies are exempt. Practical effect: one levy and one computation instead of several, but model the combined cash impact carefully and ensure you do not continue computing the superseded levies.</w:t>
      </w:r>
    </w:p>
    <w:p>
      <w:pPr>
        <w:pStyle w:val="Heading1"/>
      </w:pPr>
      <w:r>
        <w:t>4. Value Added Tax (VAT)</w:t>
      </w:r>
    </w:p>
    <w:p>
      <w:pPr>
        <w:pStyle w:val="ListBullet"/>
      </w:pPr>
      <w:r>
        <w:rPr>
          <w:sz w:val="20"/>
        </w:rPr>
        <w:t>Standard rate: widely 7.5% (confirm no change).</w:t>
      </w:r>
    </w:p>
    <w:p>
      <w:pPr>
        <w:pStyle w:val="ListBullet"/>
      </w:pPr>
      <w:r>
        <w:rPr>
          <w:sz w:val="20"/>
        </w:rPr>
        <w:t>Broader input-VAT recovery: recovery now extends beyond goods to SERVICES and CAPITAL ASSETS used to make taxable supplies — a meaningful cash benefit for capital-intensive and service businesses.</w:t>
      </w:r>
    </w:p>
    <w:p>
      <w:pPr>
        <w:pStyle w:val="ListBullet"/>
      </w:pPr>
      <w:r>
        <w:rPr>
          <w:sz w:val="20"/>
        </w:rPr>
        <w:t>Registration / charging threshold: small businesses below the turnover threshold are not required to charge VAT.</w:t>
      </w:r>
    </w:p>
    <w:p>
      <w:pPr>
        <w:pStyle w:val="ListBullet"/>
      </w:pPr>
      <w:r>
        <w:rPr>
          <w:sz w:val="20"/>
        </w:rPr>
        <w:t>Expanded zero-rated and exempt categories (e.g. basic food, education, healthcare items) — review your product mix.</w:t>
      </w:r>
    </w:p>
    <w:p>
      <w:pPr>
        <w:pStyle w:val="ListBullet"/>
      </w:pPr>
      <w:r>
        <w:rPr>
          <w:sz w:val="20"/>
        </w:rPr>
        <w:t>Apportionment: where you make both taxable and exempt supplies, input VAT must be apportioned; the exempt-related portion is a cost.</w:t>
      </w:r>
    </w:p>
    <w:p>
      <w:r>
        <w:rPr>
          <w:sz w:val="21"/>
        </w:rPr>
        <w:t>Action: re-map every product/service to Standard / Zero-rated / Exempt, and re-examine input VAT previously expensed that may now be recoverable.</w:t>
      </w:r>
    </w:p>
    <w:p>
      <w:pPr>
        <w:pStyle w:val="Heading1"/>
      </w:pPr>
      <w:r>
        <w:t>5. Personal Income Tax &amp; PAYE</w:t>
      </w:r>
    </w:p>
    <w:p>
      <w:pPr>
        <w:pStyle w:val="ListBullet"/>
      </w:pPr>
      <w:r>
        <w:rPr>
          <w:sz w:val="20"/>
        </w:rPr>
        <w:t>A tax-free threshold protects lower-income earners — annual income at or below the exemption threshold pays nil PAYE.</w:t>
      </w:r>
    </w:p>
    <w:p>
      <w:pPr>
        <w:pStyle w:val="ListBullet"/>
      </w:pPr>
      <w:r>
        <w:rPr>
          <w:sz w:val="20"/>
        </w:rPr>
        <w:t>The Consolidated Relief Allowance (CRA) is replaced. A new rent relief (indicatively 20% of annual rent, capped at ₦500,000) applies, alongside statutory deductions (pension, NHF, NHIS, life assurance).</w:t>
      </w:r>
    </w:p>
    <w:p>
      <w:pPr>
        <w:pStyle w:val="ListBullet"/>
      </w:pPr>
      <w:r>
        <w:rPr>
          <w:sz w:val="20"/>
        </w:rPr>
        <w:t>A revised progressive band structure applies up to the top marginal rate.</w:t>
      </w:r>
    </w:p>
    <w:p>
      <w:pPr>
        <w:pStyle w:val="ListBullet"/>
      </w:pPr>
      <w:r>
        <w:rPr>
          <w:sz w:val="20"/>
        </w:rPr>
        <w:t>PAYE continues to be remitted to the STATE Internal Revenue Service of the employee's residence.</w:t>
      </w:r>
    </w:p>
    <w:p>
      <w:r>
        <w:rPr>
          <w:sz w:val="21"/>
        </w:rPr>
        <w:t>Action: reconfigure payroll for the new bands, the exemption threshold and rent relief before the first 2026 pay run; do not also apply the old CRA.</w:t>
      </w:r>
    </w:p>
    <w:p>
      <w:pPr>
        <w:pStyle w:val="Heading1"/>
      </w:pPr>
      <w:r>
        <w:t>6. Minimum Effective Tax Rate (15%)</w:t>
      </w:r>
    </w:p>
    <w:p>
      <w:r>
        <w:rPr>
          <w:sz w:val="21"/>
        </w:rPr>
        <w:t>Aligned with the OECD's global minimum tax (Pillar Two), a minimum effective tax rate of 15% applies to companies in scope — broadly, members of multinational groups with consolidated revenue at or above €750m, and the largest domestic companies (indicatively turnover ≥ ₦20bn). Where a company's effective rate falls below 15%, a top-up may apply. This is technically complex; in-scope groups should obtain specialist international-tax advice and run the screening checker as a first filter only.</w:t>
      </w:r>
    </w:p>
    <w:p>
      <w:pPr>
        <w:pStyle w:val="Heading1"/>
      </w:pPr>
      <w:r>
        <w:t>7. E-Invoicing</w:t>
      </w:r>
    </w:p>
    <w:p>
      <w:r>
        <w:rPr>
          <w:sz w:val="21"/>
        </w:rPr>
        <w:t>The NRS operates a national e-invoicing system requiring invoice data to be transmitted to the authority on a real-time or near-real-time basis, with a unique invoice reference number (IRN). Rollout is phased by taxpayer size, beginning with large taxpayers. Action: confirm your phase and mandated date, choose an integration route (direct API, access-point provider or ERP middleware), and run a test cycle before go-live. See the E-Invoicing Compliance Guide.</w:t>
      </w:r>
    </w:p>
    <w:p>
      <w:pPr>
        <w:pStyle w:val="Heading1"/>
      </w:pPr>
      <w:r>
        <w:t>8. Transition Provisions &amp; Timing</w:t>
      </w:r>
    </w:p>
    <w:p>
      <w:pPr>
        <w:pStyle w:val="ListBullet"/>
      </w:pPr>
      <w:r>
        <w:rPr>
          <w:sz w:val="20"/>
        </w:rPr>
        <w:t>Effective 1 January 2026; transitional rules govern straddling accounting periods, brought-forward losses and reliefs.</w:t>
      </w:r>
    </w:p>
    <w:p>
      <w:pPr>
        <w:pStyle w:val="ListBullet"/>
      </w:pPr>
      <w:r>
        <w:rPr>
          <w:sz w:val="20"/>
        </w:rPr>
        <w:t>FIRS references in contracts, software and templates should be updated to NRS.</w:t>
      </w:r>
    </w:p>
    <w:p>
      <w:pPr>
        <w:pStyle w:val="ListBullet"/>
      </w:pPr>
      <w:r>
        <w:rPr>
          <w:sz w:val="20"/>
        </w:rPr>
        <w:t>Re-paper tax clauses, update master data (TINs, tax codes), and refresh the compliance calendar.</w:t>
      </w:r>
    </w:p>
    <w:p>
      <w:pPr>
        <w:pStyle w:val="Heading1"/>
      </w:pPr>
      <w:r>
        <w:t>9. Board Action Checklist</w:t>
      </w:r>
    </w:p>
    <w:p>
      <w:pPr>
        <w:ind w:left="360"/>
      </w:pPr>
      <w:r>
        <w:rPr>
          <w:sz w:val="20"/>
        </w:rPr>
        <w:t>☐  Re-confirm company classification (small/medium/large) for 2026 and the resulting CIT and Development Levy position.</w:t>
      </w:r>
    </w:p>
    <w:p>
      <w:pPr>
        <w:ind w:left="360"/>
      </w:pPr>
      <w:r>
        <w:rPr>
          <w:sz w:val="20"/>
        </w:rPr>
        <w:t>☐  Model the combined CIT + 4% Development Levy cash impact versus the prior multi-levy regime.</w:t>
      </w:r>
    </w:p>
    <w:p>
      <w:pPr>
        <w:ind w:left="360"/>
      </w:pPr>
      <w:r>
        <w:rPr>
          <w:sz w:val="20"/>
        </w:rPr>
        <w:t>☐  Re-map all supplies to Standard / Zero-rated / Exempt and quantify newly recoverable input VAT (services, capital assets).</w:t>
      </w:r>
    </w:p>
    <w:p>
      <w:pPr>
        <w:ind w:left="360"/>
      </w:pPr>
      <w:r>
        <w:rPr>
          <w:sz w:val="20"/>
        </w:rPr>
        <w:t>☐  Reconfigure payroll for new PIT bands, the exemption threshold and rent relief; remove the old CRA.</w:t>
      </w:r>
    </w:p>
    <w:p>
      <w:pPr>
        <w:ind w:left="360"/>
      </w:pPr>
      <w:r>
        <w:rPr>
          <w:sz w:val="20"/>
        </w:rPr>
        <w:t>☐  Determine minimum-ETR scope; if in scope, commission specialist Pillar-Two analysis.</w:t>
      </w:r>
    </w:p>
    <w:p>
      <w:pPr>
        <w:ind w:left="360"/>
      </w:pPr>
      <w:r>
        <w:rPr>
          <w:sz w:val="20"/>
        </w:rPr>
        <w:t>☐  Confirm the e-invoicing phase and complete system integration and testing.</w:t>
      </w:r>
    </w:p>
    <w:p>
      <w:pPr>
        <w:ind w:left="360"/>
      </w:pPr>
      <w:r>
        <w:rPr>
          <w:sz w:val="20"/>
        </w:rPr>
        <w:t>☐  Update all references from FIRS to NRS across systems, contracts and templates.</w:t>
      </w:r>
    </w:p>
    <w:p>
      <w:pPr>
        <w:ind w:left="360"/>
      </w:pPr>
      <w:r>
        <w:rPr>
          <w:sz w:val="20"/>
        </w:rPr>
        <w:t>☐  Refresh the tax compliance calendar and assign owners.</w:t>
      </w:r>
    </w:p>
    <w:p>
      <w:pPr>
        <w:ind w:left="360"/>
      </w:pPr>
      <w:r>
        <w:rPr>
          <w:sz w:val="20"/>
        </w:rPr>
        <w:t>☐  Run the NTA 2025 Readiness Assessment and close priority gaps.</w:t>
      </w:r>
    </w:p>
    <w:sectPr w:rsidR="00FC693F" w:rsidRPr="0006063C" w:rsidSect="00034616">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