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40"/>
          <w:szCs w:val="40"/>
        </w:rPr>
        <w:t xml:space="preserve">Tax Tribunal Case Notes 2024 — 2025</w:t>
      </w:r>
    </w:p>
    <w:p>
      <w:pPr>
        <w:spacing w:after="360"/>
        <w:jc w:val="center"/>
      </w:pPr>
      <w:r>
        <w:rPr>
          <w:i/>
          <w:iCs/>
          <w:color w:val="555555"/>
        </w:rPr>
        <w:t xml:space="preserve">Outliers Professionals — Tax Centre</w:t>
      </w:r>
    </w:p>
    <w:p>
      <w:pPr>
        <w:pStyle w:val="Heading1"/>
        <w:spacing w:after="120" w:before="240"/>
      </w:pPr>
      <w:r>
        <w:rPr>
          <w:b/>
          <w:bCs/>
        </w:rPr>
        <w:t xml:space="preserve">1. Purpose</w:t>
      </w:r>
    </w:p>
    <w:p>
      <w:pPr>
        <w:spacing w:after="120"/>
      </w:pPr>
      <w:r>
        <w:t xml:space="preserve">This digest curates the most consequential tax decisions of 2024 — 2025 from the Tax Appeal Tribunal (TAT) and the Federal High Court (FHC), and translates each into the practical control a Nigerian filer should put in place. It is intended as a working reference, not as legal advice.</w:t>
      </w:r>
    </w:p>
    <w:p>
      <w:pPr>
        <w:pStyle w:val="Heading1"/>
        <w:spacing w:after="120" w:before="240"/>
      </w:pPr>
      <w:r>
        <w:rPr>
          <w:b/>
          <w:bCs/>
        </w:rPr>
        <w:t xml:space="preserve">2. Who should use it</w:t>
      </w:r>
    </w:p>
    <w:p>
      <w:pPr>
        <w:pStyle w:val="ListParagraph"/>
        <w:numPr>
          <w:ilvl w:val="0"/>
          <w:numId w:val="2"/>
        </w:numPr>
      </w:pPr>
      <w:r>
        <w:t xml:space="preserve">Heads of Tax and tax managers preparing monthly and annual filings.</w:t>
      </w:r>
    </w:p>
    <w:p>
      <w:pPr>
        <w:pStyle w:val="ListParagraph"/>
        <w:numPr>
          <w:ilvl w:val="0"/>
          <w:numId w:val="2"/>
        </w:numPr>
      </w:pPr>
      <w:r>
        <w:t xml:space="preserve">CFOs and finance controllers approving tax positions and provisions.</w:t>
      </w:r>
    </w:p>
    <w:p>
      <w:pPr>
        <w:pStyle w:val="ListParagraph"/>
        <w:numPr>
          <w:ilvl w:val="0"/>
          <w:numId w:val="2"/>
        </w:numPr>
      </w:pPr>
      <w:r>
        <w:t xml:space="preserve">Audit committees and boards reviewing tax risk and disclosure.</w:t>
      </w:r>
    </w:p>
    <w:p>
      <w:pPr>
        <w:pStyle w:val="ListParagraph"/>
        <w:numPr>
          <w:ilvl w:val="0"/>
          <w:numId w:val="2"/>
        </w:numPr>
      </w:pPr>
      <w:r>
        <w:t xml:space="preserve">External tax counsel and advisors supporting Nigerian taxpayers.</w:t>
      </w:r>
    </w:p>
    <w:p>
      <w:pPr>
        <w:pStyle w:val="Heading1"/>
        <w:spacing w:after="120" w:before="240"/>
      </w:pPr>
      <w:r>
        <w:rPr>
          <w:b/>
          <w:bCs/>
        </w:rPr>
        <w:t xml:space="preserve">3. When to use it</w:t>
      </w:r>
    </w:p>
    <w:p>
      <w:pPr>
        <w:spacing w:after="120"/>
      </w:pPr>
      <w:r>
        <w:t xml:space="preserve">Use the digest (i) when designing or refreshing a tax position, (ii) during the year-end tax provision review, (iii) when responding to FIRS correspondence or audits, and (iv) as the case-law section of the quarterly board tax pack.</w:t>
      </w:r>
    </w:p>
    <w:p>
      <w:pPr>
        <w:pStyle w:val="Heading1"/>
        <w:spacing w:after="120" w:before="240"/>
      </w:pPr>
      <w:r>
        <w:rPr>
          <w:b/>
          <w:bCs/>
        </w:rPr>
        <w:t xml:space="preserve">4. Nigerian tax context</w:t>
      </w:r>
    </w:p>
    <w:p>
      <w:pPr>
        <w:spacing w:after="120"/>
      </w:pPr>
      <w:r>
        <w:t xml:space="preserve">All notes are read against the Nigeria Tax Act (NTA) 2025, the Nigeria Revenue Service (NRS) framework, and the prevailing Transfer Pricing, VAT, CIT, PAYE and WHT regulations. Where a decision pre-dates NTA 2025, the lesson is restated against the current statute.</w:t>
      </w:r>
    </w:p>
    <w:p>
      <w:pPr>
        <w:pStyle w:val="Heading1"/>
        <w:spacing w:after="120" w:before="240"/>
      </w:pPr>
      <w:r>
        <w:rPr>
          <w:b/>
          <w:bCs/>
        </w:rPr>
        <w:t xml:space="preserve">5. How to use this digest</w:t>
      </w:r>
    </w:p>
    <w:p>
      <w:pPr>
        <w:pStyle w:val="ListParagraph"/>
        <w:numPr>
          <w:ilvl w:val="0"/>
          <w:numId w:val="2"/>
        </w:numPr>
      </w:pPr>
      <w:r>
        <w:t xml:space="preserve">Read the facts and holding; do not skip to the lesson.</w:t>
      </w:r>
    </w:p>
    <w:p>
      <w:pPr>
        <w:pStyle w:val="ListParagraph"/>
        <w:numPr>
          <w:ilvl w:val="0"/>
          <w:numId w:val="2"/>
        </w:numPr>
      </w:pPr>
      <w:r>
        <w:t xml:space="preserve">Map each lesson to a named owner in your tax operating model.</w:t>
      </w:r>
    </w:p>
    <w:p>
      <w:pPr>
        <w:pStyle w:val="ListParagraph"/>
        <w:numPr>
          <w:ilvl w:val="0"/>
          <w:numId w:val="2"/>
        </w:numPr>
      </w:pPr>
      <w:r>
        <w:t xml:space="preserve">Cross-reference to the Tax Risk Register and the Tax Compliance Calendar.</w:t>
      </w:r>
    </w:p>
    <w:p>
      <w:pPr>
        <w:pStyle w:val="ListParagraph"/>
        <w:numPr>
          <w:ilvl w:val="0"/>
          <w:numId w:val="2"/>
        </w:numPr>
      </w:pPr>
      <w:r>
        <w:t xml:space="preserve">Re-test the position at the next quarter-end and document evidence.</w:t>
      </w:r>
    </w:p>
    <w:p>
      <w:pPr>
        <w:pStyle w:val="Heading1"/>
        <w:spacing w:after="120" w:before="240"/>
      </w:pPr>
      <w:r>
        <w:rPr>
          <w:b/>
          <w:bCs/>
        </w:rPr>
        <w:t xml:space="preserve">6. Control and approval workflow</w:t>
      </w:r>
    </w:p>
    <w:p>
      <w:pPr>
        <w:pStyle w:val="ListParagraph"/>
        <w:numPr>
          <w:ilvl w:val="0"/>
          <w:numId w:val="2"/>
        </w:numPr>
      </w:pPr>
      <w:r>
        <w:t xml:space="preserve">Drafted by: Tax Manager.</w:t>
      </w:r>
    </w:p>
    <w:p>
      <w:pPr>
        <w:pStyle w:val="ListParagraph"/>
        <w:numPr>
          <w:ilvl w:val="0"/>
          <w:numId w:val="2"/>
        </w:numPr>
      </w:pPr>
      <w:r>
        <w:t xml:space="preserve">Reviewed by: Head of Tax.</w:t>
      </w:r>
    </w:p>
    <w:p>
      <w:pPr>
        <w:pStyle w:val="ListParagraph"/>
        <w:numPr>
          <w:ilvl w:val="0"/>
          <w:numId w:val="2"/>
        </w:numPr>
      </w:pPr>
      <w:r>
        <w:t xml:space="preserve">Approved by: CFO; tabled at Audit Committee.</w:t>
      </w:r>
    </w:p>
    <w:p>
      <w:pPr>
        <w:pStyle w:val="ListParagraph"/>
        <w:numPr>
          <w:ilvl w:val="0"/>
          <w:numId w:val="2"/>
        </w:numPr>
      </w:pPr>
      <w:r>
        <w:t xml:space="preserve">Distribution: Tax team, Finance leadership, Internal Audit, External advisors.</w:t>
      </w:r>
    </w:p>
    <w:p>
      <w:pPr>
        <w:pStyle w:val="Heading1"/>
        <w:spacing w:after="120" w:before="240"/>
      </w:pPr>
      <w:r>
        <w:rPr>
          <w:b/>
          <w:bCs/>
        </w:rPr>
        <w:t xml:space="preserve">7. Review frequency</w:t>
      </w:r>
    </w:p>
    <w:p>
      <w:pPr>
        <w:spacing w:after="120"/>
      </w:pPr>
      <w:r>
        <w:t xml:space="preserve">Refresh quarterly. A full re-issue is required after any material NTA, NRS or judicial development, and at minimum once per calendar year.</w:t>
      </w:r>
    </w:p>
    <w:p>
      <w:pPr>
        <w:pStyle w:val="Heading1"/>
        <w:spacing w:after="120" w:before="240"/>
      </w:pPr>
      <w:r>
        <w:rPr>
          <w:b/>
          <w:bCs/>
        </w:rPr>
        <w:t xml:space="preserve">8. Case Notes</w:t>
      </w:r>
    </w:p>
    <w:p>
      <w:pPr>
        <w:pStyle w:val="Heading2"/>
        <w:spacing w:after="120" w:before="240"/>
      </w:pPr>
      <w:r>
        <w:rPr>
          <w:b/>
          <w:bCs/>
        </w:rPr>
        <w:t xml:space="preserve">8.1  Mobil Producing Nig. Unlimited v FIRS (TAT/2024)</w:t>
      </w:r>
    </w:p>
    <w:p>
      <w:r>
        <w:rPr>
          <w:b/>
          <w:bCs/>
        </w:rPr>
        <w:t xml:space="preserve">Area: </w:t>
      </w:r>
      <w:r>
        <w:t xml:space="preserve">WHT on Services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FIRS assessed WHT on cross-border technical service fees treated by taxpayer as reimbursements.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upheld WHT applicability where the underlying transaction conferred a service benefit, reimbursement label notwithstanding.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Taxpayers must document the substance of intercompany charges; mere labelling as 'reimbursement' will not defeat WHT.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Maintain contracts, invoices and benefit-evidence files contemporaneously for all intercompany services.</w:t>
      </w:r>
    </w:p>
    <w:p>
      <w:pPr>
        <w:pStyle w:val="Heading2"/>
        <w:spacing w:after="120" w:before="240"/>
      </w:pPr>
      <w:r>
        <w:rPr>
          <w:b/>
          <w:bCs/>
        </w:rPr>
        <w:t xml:space="preserve">8.2  MTN Nigeria Communications Plc v AG Federation (FHC/2024)</w:t>
      </w:r>
    </w:p>
    <w:p>
      <w:r>
        <w:rPr>
          <w:b/>
          <w:bCs/>
        </w:rPr>
        <w:t xml:space="preserve">Area: </w:t>
      </w:r>
      <w:r>
        <w:t xml:space="preserve">VAT on Imported Intangibles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Dispute on VAT chargeability for software, bandwidth and platform services consumed in Nigeria from non-resident suppliers.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Court affirmed reverse-charge VAT obligation on the Nigerian recipient under the destination principle.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Procurement, IT and finance must jointly screen non-resident digital invoices for self-account VAT.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Build an NRS reverse-charge register; reconcile monthly to AP and to the VAT return.</w:t>
      </w:r>
    </w:p>
    <w:p>
      <w:pPr>
        <w:pStyle w:val="Heading2"/>
        <w:spacing w:after="120" w:before="240"/>
      </w:pPr>
      <w:r>
        <w:rPr>
          <w:b/>
          <w:bCs/>
        </w:rPr>
        <w:t xml:space="preserve">8.3  Seven-Up Bottling Co. v FIRS (TAT/2024)</w:t>
      </w:r>
    </w:p>
    <w:p>
      <w:r>
        <w:rPr>
          <w:b/>
          <w:bCs/>
        </w:rPr>
        <w:t xml:space="preserve">Area: </w:t>
      </w:r>
      <w:r>
        <w:t xml:space="preserve">CIT Minimum Tax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Taxpayer in loss position contested minimum-tax computation methodology after FIRS recomputation.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endorsed FIRS basis where audited financials supported turnover; allowed adjustment for verified non-operating income.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Loss-makers remain exposed to minimum tax; classification of revenue lines is decisive.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Pre-file minimum-tax simulation; segregate operating vs non-operating income with audit-grade evidence.</w:t>
      </w:r>
    </w:p>
    <w:p>
      <w:pPr>
        <w:pStyle w:val="Heading2"/>
        <w:spacing w:after="120" w:before="240"/>
      </w:pPr>
      <w:r>
        <w:rPr>
          <w:b/>
          <w:bCs/>
        </w:rPr>
        <w:t xml:space="preserve">8.4  Chevron Nigeria Ltd v FIRS (TAT/2025)</w:t>
      </w:r>
    </w:p>
    <w:p>
      <w:r>
        <w:rPr>
          <w:b/>
          <w:bCs/>
        </w:rPr>
        <w:t xml:space="preserve">Area: </w:t>
      </w:r>
      <w:r>
        <w:t xml:space="preserve">Transfer Pricing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FIRS rejected taxpayer benchmarking for intra-group financing and adjusted interest deductible.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partly upheld FIRS adjustment, requiring contemporaneous credit-rating analysis and arm's-length range.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TP files without credit-spread workpapers are vulnerable on intercompany loans.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Refresh TP master file and local file annually; commission independent credit-rating support for related-party debt.</w:t>
      </w:r>
    </w:p>
    <w:p>
      <w:pPr>
        <w:pStyle w:val="Heading2"/>
        <w:spacing w:after="120" w:before="240"/>
      </w:pPr>
      <w:r>
        <w:rPr>
          <w:b/>
          <w:bCs/>
        </w:rPr>
        <w:t xml:space="preserve">8.5  Shell Petroleum Development Co. v FIRS (FHC/2025)</w:t>
      </w:r>
    </w:p>
    <w:p>
      <w:r>
        <w:rPr>
          <w:b/>
          <w:bCs/>
        </w:rPr>
        <w:t xml:space="preserve">Area: </w:t>
      </w:r>
      <w:r>
        <w:t xml:space="preserve">PAYE Residency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Dispute over PAYE liability for expatriate rotators with split-year presence.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Court applied 183-day test with substance-over-form review of contracts and payroll bearer.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Globally mobile employees create PAYE exposure even where payroll is offshore.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Implement a mobility tracker; align HR, immigration and tax workflows to a single residency calendar.</w:t>
      </w:r>
    </w:p>
    <w:p>
      <w:pPr>
        <w:pStyle w:val="Heading2"/>
        <w:spacing w:after="120" w:before="240"/>
      </w:pPr>
      <w:r>
        <w:rPr>
          <w:b/>
          <w:bCs/>
        </w:rPr>
        <w:t xml:space="preserve">8.6  Access Holdings Plc v FIRS (TAT/2025)</w:t>
      </w:r>
    </w:p>
    <w:p>
      <w:r>
        <w:rPr>
          <w:b/>
          <w:bCs/>
        </w:rPr>
        <w:t xml:space="preserve">Area: </w:t>
      </w:r>
      <w:r>
        <w:t xml:space="preserve">WHT on Dividends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Inter-company dividend WHT treatment under the new NTA 2025 group-relief provisions.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recognised qualifying-group exemption subject to ownership-period and consolidation tests.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Holding-company structures can access exemption with documentation discipline.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Maintain shareholding registers, board minutes and consolidation evidence to support group relief.</w:t>
      </w:r>
    </w:p>
    <w:p>
      <w:pPr>
        <w:pStyle w:val="Heading2"/>
        <w:spacing w:after="120" w:before="240"/>
      </w:pPr>
      <w:r>
        <w:rPr>
          <w:b/>
          <w:bCs/>
        </w:rPr>
        <w:t xml:space="preserve">8.7  Dangote Cement Plc v FIRS (TAT/2025)</w:t>
      </w:r>
    </w:p>
    <w:p>
      <w:r>
        <w:rPr>
          <w:b/>
          <w:bCs/>
        </w:rPr>
        <w:t xml:space="preserve">Area: </w:t>
      </w:r>
      <w:r>
        <w:t xml:space="preserve">Pioneer Status / Investment Allowance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Dispute over carry-forward of unutilised pioneer losses post-relief period.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permitted carry-forward subject to audited segregation of pioneer and non-pioneer activities.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Pioneer claimants must run two sets of books in substance, not just in form.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Adopt activity-based accounting from day one of pioneer status; lock cost-allocation policy in writing.</w:t>
      </w:r>
    </w:p>
    <w:p>
      <w:pPr>
        <w:pStyle w:val="Heading2"/>
        <w:spacing w:after="120" w:before="240"/>
      </w:pPr>
      <w:r>
        <w:rPr>
          <w:b/>
          <w:bCs/>
        </w:rPr>
        <w:t xml:space="preserve">8.8  Airtel Networks Ltd v FIRS (FHC/2025)</w:t>
      </w:r>
    </w:p>
    <w:p>
      <w:r>
        <w:rPr>
          <w:b/>
          <w:bCs/>
        </w:rPr>
        <w:t xml:space="preserve">Area: </w:t>
      </w:r>
      <w:r>
        <w:t xml:space="preserve">Digital Services Tax / SEP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Significant Economic Presence assessment on platform revenue attributed to Nigerian users.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Court affirmed SEP nexus under the consolidated rules; deduction allowed for verifiable in-country costs.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Non-resident digital businesses are firmly in scope; documentation of in-country costs is the lever.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Build a SEP attribution model and refresh quarterly with user-traffic and revenue analytics.</w:t>
      </w:r>
    </w:p>
    <w:p>
      <w:pPr>
        <w:pStyle w:val="Heading2"/>
        <w:spacing w:after="120" w:before="240"/>
      </w:pPr>
      <w:r>
        <w:rPr>
          <w:b/>
          <w:bCs/>
        </w:rPr>
        <w:t xml:space="preserve">8.9  Nestle Nigeria Plc v FIRS (TAT/2025)</w:t>
      </w:r>
    </w:p>
    <w:p>
      <w:r>
        <w:rPr>
          <w:b/>
          <w:bCs/>
        </w:rPr>
        <w:t xml:space="preserve">Area: </w:t>
      </w:r>
      <w:r>
        <w:t xml:space="preserve">VAT — Exempt vs Zero-Rated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Reclassification of basic-food SKUs between exempt and zero-rated post-NTA 2025.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applied the statutory schedule strictly; recovery of input VAT denied on exempt outputs.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SKU master data drives VAT recovery; misclassification has cash-flow consequences.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Run an annual SKU-to-schedule mapping with sign-off from tax, supply chain and finance.</w:t>
      </w:r>
    </w:p>
    <w:p>
      <w:pPr>
        <w:pStyle w:val="Heading2"/>
        <w:spacing w:after="120" w:before="240"/>
      </w:pPr>
      <w:r>
        <w:rPr>
          <w:b/>
          <w:bCs/>
        </w:rPr>
        <w:t xml:space="preserve">8.10  GTCO Plc v FIRS (TAT/2025)</w:t>
      </w:r>
    </w:p>
    <w:p>
      <w:r>
        <w:rPr>
          <w:b/>
          <w:bCs/>
        </w:rPr>
        <w:t xml:space="preserve">Area: </w:t>
      </w:r>
      <w:r>
        <w:t xml:space="preserve">E-Invoicing Penalty</w:t>
      </w:r>
    </w:p>
    <w:p>
      <w:pPr>
        <w:spacing w:before="80"/>
      </w:pPr>
      <w:r>
        <w:rPr>
          <w:b/>
          <w:bCs/>
        </w:rPr>
        <w:t xml:space="preserve">Facts: </w:t>
      </w:r>
      <w:r>
        <w:t xml:space="preserve">Penalty assessment for late onboarding to the FIRS e-invoicing platform under NTA 2025 thresholds.</w:t>
      </w:r>
    </w:p>
    <w:p>
      <w:pPr>
        <w:spacing w:before="80"/>
      </w:pPr>
      <w:r>
        <w:rPr>
          <w:b/>
          <w:bCs/>
        </w:rPr>
        <w:t xml:space="preserve">Holding: </w:t>
      </w:r>
      <w:r>
        <w:t xml:space="preserve">Tribunal upheld penalty but reduced quantum on evidence of good-faith readiness programme.</w:t>
      </w:r>
    </w:p>
    <w:p>
      <w:pPr>
        <w:spacing w:before="80"/>
      </w:pPr>
      <w:r>
        <w:rPr>
          <w:b/>
          <w:bCs/>
        </w:rPr>
        <w:t xml:space="preserve">Implication: </w:t>
      </w:r>
      <w:r>
        <w:t xml:space="preserve">Documentation of an e-invoicing readiness plan can mitigate, even if it does not eliminate, penalties.</w:t>
      </w:r>
    </w:p>
    <w:p>
      <w:pPr>
        <w:spacing w:after="160" w:before="80"/>
      </w:pPr>
      <w:r>
        <w:rPr>
          <w:b/>
          <w:bCs/>
        </w:rPr>
        <w:t xml:space="preserve">Lesson for filers: </w:t>
      </w:r>
      <w:r>
        <w:t xml:space="preserve">Run a board-approved e-invoicing programme with milestones, owners and dated evidence packs.</w:t>
      </w:r>
    </w:p>
    <w:p>
      <w:pPr>
        <w:pStyle w:val="Heading1"/>
        <w:spacing w:after="120" w:before="240"/>
      </w:pPr>
      <w:r>
        <w:rPr>
          <w:b/>
          <w:bCs/>
        </w:rPr>
        <w:t xml:space="preserve">9. Sample lessons-tracking template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/>
        </w:trP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Case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Area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Lesson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Owner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Target date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A5F" w:color="auto" w:val="clear"/>
          </w:tcPr>
          <w:p>
            <w:r>
              <w:rPr>
                <w:b/>
                <w:bCs/>
                <w:color w:val="FFFFFF"/>
              </w:rPr>
              <w:t xml:space="preserve">Status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Mobil Producing Nig. Unlimited v FIRS (TAT/2024)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WHT on Services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Maintain contracts, invoices and benefit-evidence files contemporaneously for all intercompany services.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MTN Nigeria Communications Plc v AG Federation (FHC/2024)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VAT on Imported Intangibles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Build an NRS reverse-charge register; reconcile monthly to AP and to the VAT return.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Seven-Up Bottling Co. v FIRS (TAT/2024)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CIT Minimum Tax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Pre-file minimum-tax simulation; segregate operating vs non-operating income with audit-grade evidence.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Chevron Nigeria Ltd v FIRS (TAT/2025)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Transfer Pricing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Refresh TP master file and local file annually; commission independent credit-rating support for related-party debt.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Shell Petroleum Development Co. v FIRS (FHC/2025)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PAYE Residency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Implement a mobility tracker; align HR, immigration and tax workflows to a single residency calendar.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Access Holdings Plc v FIRS (TAT/2025)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WHT on Dividends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Maintain shareholding registers, board minutes and consolidation evidence to support group relief.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Dangote Cement Plc v FIRS (TAT/2025)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Pioneer Status / Investment Allowance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Adopt activity-based accounting from day one of pioneer status; lock cost-allocation policy in writing.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Airtel Networks Ltd v FIRS (FHC/2025)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Digital Services Tax / SEP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Build a SEP attribution model and refresh quarterly with user-traffic and revenue analytics.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Nestle Nigeria Plc v FIRS (TAT/2025)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VAT — Exempt vs Zero-Rated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Run an annual SKU-to-schedule mapping with sign-off from tax, supply chain and finance.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  <w:tr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GTCO Plc v FIRS (TAT/2025)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E-Invoicing Penalty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Run a board-approved e-invoicing programme with milestones, owners and dated evidence packs.</w:t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Open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10. Implementation notes &amp; limitations</w:t>
      </w:r>
    </w:p>
    <w:p>
      <w:pPr>
        <w:pStyle w:val="ListParagraph"/>
        <w:numPr>
          <w:ilvl w:val="0"/>
          <w:numId w:val="2"/>
        </w:numPr>
      </w:pPr>
      <w:r>
        <w:t xml:space="preserve">Treat each lesson as a control to be designed, owned, evidenced and tested.</w:t>
      </w:r>
    </w:p>
    <w:p>
      <w:pPr>
        <w:pStyle w:val="ListParagraph"/>
        <w:numPr>
          <w:ilvl w:val="0"/>
          <w:numId w:val="2"/>
        </w:numPr>
      </w:pPr>
      <w:r>
        <w:t xml:space="preserve">Where a case is on appeal, mark the position as 'Provisional' and re-test on judgement.</w:t>
      </w:r>
    </w:p>
    <w:p>
      <w:pPr>
        <w:pStyle w:val="ListParagraph"/>
        <w:numPr>
          <w:ilvl w:val="0"/>
          <w:numId w:val="2"/>
        </w:numPr>
      </w:pPr>
      <w:r>
        <w:t xml:space="preserve">This digest is curated; supplement with full law reports for formal opinions.</w:t>
      </w:r>
    </w:p>
    <w:p>
      <w:pPr>
        <w:spacing w:after="120"/>
      </w:pPr>
      <w:r>
        <w:t xml:space="preserve">Limitations: this document is a practitioner digest and does not constitute legal advice. Confirm citations and current status with counsel before reliance.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2026-06-28T14:37:47.868Z</dcterms:created>
  <dcterms:modified xsi:type="dcterms:W3CDTF">2026-06-28T14:37:47.869Z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