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Environmental Management Toolkit™</w:t>
      </w:r>
    </w:p>
    <w:p>
      <w:pPr>
        <w:jc w:val="center"/>
      </w:pPr>
      <w:r>
        <w:rPr>
          <w:color w:val="C97B2C"/>
          <w:sz w:val="26"/>
        </w:rPr>
        <w:t>Manage environmental impacts and circularity</w:t>
      </w:r>
    </w:p>
    <w:p/>
    <w:p/>
    <w:p>
      <w:pPr>
        <w:jc w:val="center"/>
      </w:pPr>
      <w:r>
        <w:rPr>
          <w:color w:val="555555"/>
          <w:sz w:val="20"/>
        </w:rPr>
        <w:t>EHS / Operations / Sustainability  ·  Flagship Edition 2026</w:t>
      </w:r>
    </w:p>
    <w:p>
      <w:pPr>
        <w:jc w:val="center"/>
      </w:pPr>
      <w:r>
        <w:rPr>
          <w:i/>
          <w:color w:val="555555"/>
          <w:sz w:val="18"/>
        </w:rPr>
        <w:t>Outliers Professionals Ltd — ESG &amp; Sustainability Centre Resource Library</w:t>
      </w:r>
    </w:p>
    <w:p>
      <w:r>
        <w:br w:type="page"/>
      </w:r>
    </w:p>
    <w:p>
      <w:pPr>
        <w:pStyle w:val="Heading1"/>
      </w:pPr>
      <w:r>
        <w:t>1. Executive Overview</w:t>
      </w:r>
    </w:p>
    <w:p>
      <w:r>
        <w:rPr>
          <w:b w:val="0"/>
          <w:i w:val="0"/>
          <w:sz w:val="20"/>
        </w:rPr>
        <w:t>This toolkit helps you manage environmental aspects and impacts across operations — water, waste, biodiversity, circularity and compliance — drawing on ISO 14001.</w:t>
      </w:r>
    </w:p>
    <w:p>
      <w:r>
        <w:rPr>
          <w:b w:val="0"/>
          <w:i w:val="0"/>
          <w:sz w:val="19"/>
        </w:rPr>
        <w:t>This toolkit is part of the Outliers ESG &amp; Sustainability Centre™ and is anchored to GRI, ISSB, TCFD and the GHG Protocol (by name). It gives boards, sustainability teams and assurance providers an applied, end-to-end kit to set, deliver, measure and disclose ESG performance in this domain.</w:t>
      </w:r>
    </w:p>
    <w:p>
      <w:pPr>
        <w:pStyle w:val="Heading1"/>
      </w:pPr>
      <w:r>
        <w:t>2. Objectives</w:t>
      </w:r>
    </w:p>
    <w:p>
      <w:r>
        <w:rPr>
          <w:b w:val="0"/>
          <w:i w:val="0"/>
          <w:sz w:val="20"/>
        </w:rPr>
        <w:t>The outcomes this toolkit helps you achieve:</w:t>
      </w:r>
    </w:p>
    <w:p>
      <w:pPr>
        <w:pStyle w:val="ListBullet"/>
      </w:pPr>
      <w:r>
        <w:rPr>
          <w:sz w:val="19"/>
        </w:rPr>
        <w:t>Identify environmental aspects and impacts</w:t>
      </w:r>
    </w:p>
    <w:p>
      <w:pPr>
        <w:pStyle w:val="ListBullet"/>
      </w:pPr>
      <w:r>
        <w:rPr>
          <w:sz w:val="19"/>
        </w:rPr>
        <w:t>Manage water and effluents</w:t>
      </w:r>
    </w:p>
    <w:p>
      <w:pPr>
        <w:pStyle w:val="ListBullet"/>
      </w:pPr>
      <w:r>
        <w:rPr>
          <w:sz w:val="19"/>
        </w:rPr>
        <w:t>Manage waste and circularity</w:t>
      </w:r>
    </w:p>
    <w:p>
      <w:pPr>
        <w:pStyle w:val="ListBullet"/>
      </w:pPr>
      <w:r>
        <w:rPr>
          <w:sz w:val="19"/>
        </w:rPr>
        <w:t>Protect biodiversity</w:t>
      </w:r>
    </w:p>
    <w:p>
      <w:pPr>
        <w:pStyle w:val="ListBullet"/>
      </w:pPr>
      <w:r>
        <w:rPr>
          <w:sz w:val="19"/>
        </w:rPr>
        <w:t>Maintain environmental compliance</w:t>
      </w:r>
    </w:p>
    <w:p>
      <w:pPr>
        <w:pStyle w:val="Heading1"/>
      </w:pPr>
      <w:r>
        <w:t>3. Governance</w:t>
      </w:r>
    </w:p>
    <w:p>
      <w:r>
        <w:rPr>
          <w:b w:val="0"/>
          <w:i w:val="0"/>
          <w:sz w:val="20"/>
        </w:rPr>
        <w:t>Environmental management is owned by EHS and operations, supported by sustainability and assured by internal audit:</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ESG Committee</w:t>
            </w:r>
          </w:p>
        </w:tc>
        <w:tc>
          <w:tcPr>
            <w:tcW w:type="dxa" w:w="8208"/>
          </w:tcPr>
          <w:p>
            <w:r/>
            <w:r>
              <w:rPr>
                <w:rFonts w:ascii="Arial" w:hAnsi="Arial"/>
                <w:b w:val="0"/>
                <w:sz w:val="16"/>
              </w:rPr>
              <w:t>Oversees ESG strategy, risk and disclosure</w:t>
            </w:r>
          </w:p>
        </w:tc>
      </w:tr>
      <w:tr>
        <w:tc>
          <w:tcPr>
            <w:tcW w:type="dxa" w:w="3312"/>
            <w:shd w:val="clear" w:fill="F4F7FB"/>
          </w:tcPr>
          <w:p>
            <w:r/>
            <w:r>
              <w:rPr>
                <w:rFonts w:ascii="Arial" w:hAnsi="Arial"/>
                <w:b w:val="0"/>
                <w:sz w:val="16"/>
              </w:rPr>
              <w:t>Executive / CSO</w:t>
            </w:r>
          </w:p>
        </w:tc>
        <w:tc>
          <w:tcPr>
            <w:tcW w:type="dxa" w:w="8208"/>
            <w:shd w:val="clear" w:fill="F4F7FB"/>
          </w:tcPr>
          <w:p>
            <w:r/>
            <w:r>
              <w:rPr>
                <w:rFonts w:ascii="Arial" w:hAnsi="Arial"/>
                <w:b w:val="0"/>
                <w:sz w:val="16"/>
              </w:rPr>
              <w:t>Owns ESG and the operating model</w:t>
            </w:r>
          </w:p>
        </w:tc>
      </w:tr>
      <w:tr>
        <w:tc>
          <w:tcPr>
            <w:tcW w:type="dxa" w:w="3312"/>
          </w:tcPr>
          <w:p>
            <w:r/>
            <w:r>
              <w:rPr>
                <w:rFonts w:ascii="Arial" w:hAnsi="Arial"/>
                <w:b w:val="0"/>
                <w:sz w:val="16"/>
              </w:rPr>
              <w:t>Sustainability function</w:t>
            </w:r>
          </w:p>
        </w:tc>
        <w:tc>
          <w:tcPr>
            <w:tcW w:type="dxa" w:w="8208"/>
          </w:tcPr>
          <w:p>
            <w:r/>
            <w:r>
              <w:rPr>
                <w:rFonts w:ascii="Arial" w:hAnsi="Arial"/>
                <w:b w:val="0"/>
                <w:sz w:val="16"/>
              </w:rPr>
              <w:t>Runs ESG programmes and reporting</w:t>
            </w:r>
          </w:p>
        </w:tc>
      </w:tr>
      <w:tr>
        <w:tc>
          <w:tcPr>
            <w:tcW w:type="dxa" w:w="3312"/>
            <w:shd w:val="clear" w:fill="F4F7FB"/>
          </w:tcPr>
          <w:p>
            <w:r/>
            <w:r>
              <w:rPr>
                <w:rFonts w:ascii="Arial" w:hAnsi="Arial"/>
                <w:b w:val="0"/>
                <w:sz w:val="16"/>
              </w:rPr>
              <w:t>Business &amp; functions</w:t>
            </w:r>
          </w:p>
        </w:tc>
        <w:tc>
          <w:tcPr>
            <w:tcW w:type="dxa" w:w="8208"/>
            <w:shd w:val="clear" w:fill="F4F7FB"/>
          </w:tcPr>
          <w:p>
            <w:r/>
            <w:r>
              <w:rPr>
                <w:rFonts w:ascii="Arial" w:hAnsi="Arial"/>
                <w:b w:val="0"/>
                <w:sz w:val="16"/>
              </w:rPr>
              <w:t>Deliver ESG in operations</w:t>
            </w:r>
          </w:p>
        </w:tc>
      </w:tr>
      <w:tr>
        <w:tc>
          <w:tcPr>
            <w:tcW w:type="dxa" w:w="3312"/>
          </w:tcPr>
          <w:p>
            <w:r/>
            <w:r>
              <w:rPr>
                <w:rFonts w:ascii="Arial" w:hAnsi="Arial"/>
                <w:b w:val="0"/>
                <w:sz w:val="16"/>
              </w:rPr>
              <w:t>Assurance / internal audit</w:t>
            </w:r>
          </w:p>
        </w:tc>
        <w:tc>
          <w:tcPr>
            <w:tcW w:type="dxa" w:w="8208"/>
          </w:tcPr>
          <w:p>
            <w:r/>
            <w:r>
              <w:rPr>
                <w:rFonts w:ascii="Arial" w:hAnsi="Arial"/>
                <w:b w:val="0"/>
                <w:sz w:val="16"/>
              </w:rPr>
              <w:t>Provides assurance over ESG</w:t>
            </w:r>
          </w:p>
        </w:tc>
      </w:tr>
    </w:tbl>
    <w:p>
      <w:pPr>
        <w:pStyle w:val="Heading1"/>
      </w:pPr>
      <w:r>
        <w:t>4. Control / Management Framework</w:t>
      </w:r>
    </w:p>
    <w:p>
      <w:r>
        <w:rPr>
          <w:b w:val="0"/>
          <w:i w:val="0"/>
          <w:sz w:val="20"/>
        </w:rPr>
        <w:t>The framework manages environmental aspects and impacts — water, waste, biodiversity, circularity and compliance — drawing on ISO 14001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Ad hoc / reactive</w:t>
            </w:r>
          </w:p>
        </w:tc>
        <w:tc>
          <w:tcPr>
            <w:tcW w:type="dxa" w:w="2232"/>
          </w:tcPr>
          <w:p>
            <w:r/>
            <w:r>
              <w:rPr>
                <w:rFonts w:ascii="Arial" w:hAnsi="Arial"/>
                <w:b w:val="0"/>
                <w:sz w:val="16"/>
              </w:rPr>
              <w:t>Basic, unstandardised</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assured</w:t>
            </w:r>
          </w:p>
        </w:tc>
        <w:tc>
          <w:tcPr>
            <w:tcW w:type="dxa" w:w="2232"/>
          </w:tcPr>
          <w:p>
            <w:r/>
            <w:r>
              <w:rPr>
                <w:rFonts w:ascii="Arial" w:hAnsi="Arial"/>
                <w:b w:val="0"/>
                <w:sz w:val="16"/>
              </w:rPr>
              <w:t>Strategic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EHS / Operations</w:t>
            </w:r>
          </w:p>
        </w:tc>
        <w:tc>
          <w:tcPr>
            <w:tcW w:type="dxa" w:w="8064"/>
          </w:tcPr>
          <w:p>
            <w:r/>
            <w:r>
              <w:rPr>
                <w:rFonts w:ascii="Arial" w:hAnsi="Arial"/>
                <w:b w:val="0"/>
                <w:sz w:val="17"/>
              </w:rPr>
              <w:t>Own environmental management</w:t>
            </w:r>
          </w:p>
        </w:tc>
      </w:tr>
      <w:tr>
        <w:tc>
          <w:tcPr>
            <w:tcW w:type="dxa" w:w="3456"/>
            <w:shd w:val="clear" w:fill="F4F7FB"/>
          </w:tcPr>
          <w:p>
            <w:r/>
            <w:r>
              <w:rPr>
                <w:rFonts w:ascii="Arial" w:hAnsi="Arial"/>
                <w:b w:val="0"/>
                <w:sz w:val="17"/>
              </w:rPr>
              <w:t>Sustainability</w:t>
            </w:r>
          </w:p>
        </w:tc>
        <w:tc>
          <w:tcPr>
            <w:tcW w:type="dxa" w:w="8064"/>
            <w:shd w:val="clear" w:fill="F4F7FB"/>
          </w:tcPr>
          <w:p>
            <w:r/>
            <w:r>
              <w:rPr>
                <w:rFonts w:ascii="Arial" w:hAnsi="Arial"/>
                <w:b w:val="0"/>
                <w:sz w:val="17"/>
              </w:rPr>
              <w:t>Set standards and report</w:t>
            </w:r>
          </w:p>
        </w:tc>
      </w:tr>
      <w:tr>
        <w:tc>
          <w:tcPr>
            <w:tcW w:type="dxa" w:w="3456"/>
          </w:tcPr>
          <w:p>
            <w:r/>
            <w:r>
              <w:rPr>
                <w:rFonts w:ascii="Arial" w:hAnsi="Arial"/>
                <w:b w:val="0"/>
                <w:sz w:val="17"/>
              </w:rPr>
              <w:t>Site managers</w:t>
            </w:r>
          </w:p>
        </w:tc>
        <w:tc>
          <w:tcPr>
            <w:tcW w:type="dxa" w:w="8064"/>
          </w:tcPr>
          <w:p>
            <w:r/>
            <w:r>
              <w:rPr>
                <w:rFonts w:ascii="Arial" w:hAnsi="Arial"/>
                <w:b w:val="0"/>
                <w:sz w:val="17"/>
              </w:rPr>
              <w:t>Operate environmental controls</w:t>
            </w:r>
          </w:p>
        </w:tc>
      </w:tr>
      <w:tr>
        <w:tc>
          <w:tcPr>
            <w:tcW w:type="dxa" w:w="3456"/>
            <w:shd w:val="clear" w:fill="F4F7FB"/>
          </w:tcPr>
          <w:p>
            <w:r/>
            <w:r>
              <w:rPr>
                <w:rFonts w:ascii="Arial" w:hAnsi="Arial"/>
                <w:b w:val="0"/>
                <w:sz w:val="17"/>
              </w:rPr>
              <w:t>Internal audit</w:t>
            </w:r>
          </w:p>
        </w:tc>
        <w:tc>
          <w:tcPr>
            <w:tcW w:type="dxa" w:w="8064"/>
            <w:shd w:val="clear" w:fill="F4F7FB"/>
          </w:tcPr>
          <w:p>
            <w:r/>
            <w:r>
              <w:rPr>
                <w:rFonts w:ascii="Arial" w:hAnsi="Arial"/>
                <w:b w:val="0"/>
                <w:sz w:val="17"/>
              </w:rPr>
              <w:t>Assure compliance</w:t>
            </w:r>
          </w:p>
        </w:tc>
      </w:tr>
      <w:tr>
        <w:tc>
          <w:tcPr>
            <w:tcW w:type="dxa" w:w="3456"/>
          </w:tcPr>
          <w:p>
            <w:r/>
            <w:r>
              <w:rPr>
                <w:rFonts w:ascii="Arial" w:hAnsi="Arial"/>
                <w:b w:val="0"/>
                <w:sz w:val="17"/>
              </w:rPr>
              <w:t>Board / ESG Committee</w:t>
            </w:r>
          </w:p>
        </w:tc>
        <w:tc>
          <w:tcPr>
            <w:tcW w:type="dxa" w:w="8064"/>
          </w:tcPr>
          <w:p>
            <w:r/>
            <w:r>
              <w:rPr>
                <w:rFonts w:ascii="Arial" w:hAnsi="Arial"/>
                <w:b w:val="0"/>
                <w:sz w:val="17"/>
              </w:rPr>
              <w:t>Oversee environmental performance</w:t>
            </w:r>
          </w:p>
        </w:tc>
      </w:tr>
    </w:tbl>
    <w:p>
      <w:pPr>
        <w:pStyle w:val="Heading1"/>
      </w:pPr>
      <w:r>
        <w:t>6. Risk-Control / Topic Matrix (sample)</w:t>
      </w:r>
    </w:p>
    <w:p>
      <w:r>
        <w:rPr>
          <w:b w:val="0"/>
          <w:i/>
          <w:sz w:val="19"/>
        </w:rPr>
        <w:t>Illustrative matrix of ESG topics/risks and the management responses. Full working versions ship as editable XLSX with owners, scores, targets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Topic / Risk</w:t>
            </w:r>
          </w:p>
        </w:tc>
        <w:tc>
          <w:tcPr>
            <w:tcW w:type="dxa" w:w="3744"/>
            <w:shd w:val="clear" w:fill="1B4D89"/>
          </w:tcPr>
          <w:p>
            <w:r/>
            <w:r>
              <w:rPr>
                <w:rFonts w:ascii="Arial" w:hAnsi="Arial"/>
                <w:b/>
                <w:color w:val="FFFFFF"/>
                <w:sz w:val="16"/>
              </w:rPr>
              <w:t>Management Response</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EN-01</w:t>
            </w:r>
          </w:p>
        </w:tc>
        <w:tc>
          <w:tcPr>
            <w:tcW w:type="dxa" w:w="2880"/>
          </w:tcPr>
          <w:p>
            <w:r/>
            <w:r>
              <w:rPr>
                <w:rFonts w:ascii="Arial" w:hAnsi="Arial"/>
                <w:b w:val="0"/>
                <w:sz w:val="16"/>
              </w:rPr>
              <w:t>Water use</w:t>
            </w:r>
          </w:p>
        </w:tc>
        <w:tc>
          <w:tcPr>
            <w:tcW w:type="dxa" w:w="3744"/>
          </w:tcPr>
          <w:p>
            <w:r/>
            <w:r>
              <w:rPr>
                <w:rFonts w:ascii="Arial" w:hAnsi="Arial"/>
                <w:b w:val="0"/>
                <w:sz w:val="16"/>
              </w:rPr>
              <w:t>Efficiency and reuse</w:t>
            </w:r>
          </w:p>
        </w:tc>
        <w:tc>
          <w:tcPr>
            <w:tcW w:type="dxa" w:w="1728"/>
          </w:tcPr>
          <w:p>
            <w:r/>
            <w:r>
              <w:rPr>
                <w:rFonts w:ascii="Arial" w:hAnsi="Arial"/>
                <w:b w:val="0"/>
                <w:sz w:val="16"/>
              </w:rPr>
              <w:t>Facilities</w:t>
            </w:r>
          </w:p>
        </w:tc>
        <w:tc>
          <w:tcPr>
            <w:tcW w:type="dxa" w:w="1296"/>
          </w:tcPr>
          <w:p>
            <w:r/>
            <w:r>
              <w:rPr>
                <w:rFonts w:ascii="Arial" w:hAnsi="Arial"/>
                <w:b w:val="0"/>
                <w:sz w:val="16"/>
              </w:rPr>
              <w:t>Monthly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EN-02</w:t>
            </w:r>
          </w:p>
        </w:tc>
        <w:tc>
          <w:tcPr>
            <w:tcW w:type="dxa" w:w="2880"/>
            <w:shd w:val="clear" w:fill="F4F7FB"/>
          </w:tcPr>
          <w:p>
            <w:r/>
            <w:r>
              <w:rPr>
                <w:rFonts w:ascii="Arial" w:hAnsi="Arial"/>
                <w:b w:val="0"/>
                <w:sz w:val="16"/>
              </w:rPr>
              <w:t>Waste</w:t>
            </w:r>
          </w:p>
        </w:tc>
        <w:tc>
          <w:tcPr>
            <w:tcW w:type="dxa" w:w="3744"/>
            <w:shd w:val="clear" w:fill="F4F7FB"/>
          </w:tcPr>
          <w:p>
            <w:r/>
            <w:r>
              <w:rPr>
                <w:rFonts w:ascii="Arial" w:hAnsi="Arial"/>
                <w:b w:val="0"/>
                <w:sz w:val="16"/>
              </w:rPr>
              <w:t>Reduction, reuse, recycling</w:t>
            </w:r>
          </w:p>
        </w:tc>
        <w:tc>
          <w:tcPr>
            <w:tcW w:type="dxa" w:w="1728"/>
            <w:shd w:val="clear" w:fill="F4F7FB"/>
          </w:tcPr>
          <w:p>
            <w:r/>
            <w:r>
              <w:rPr>
                <w:rFonts w:ascii="Arial" w:hAnsi="Arial"/>
                <w:b w:val="0"/>
                <w:sz w:val="16"/>
              </w:rPr>
              <w:t>Facilities</w:t>
            </w:r>
          </w:p>
        </w:tc>
        <w:tc>
          <w:tcPr>
            <w:tcW w:type="dxa" w:w="1296"/>
            <w:shd w:val="clear" w:fill="F4F7FB"/>
          </w:tcPr>
          <w:p>
            <w:r/>
            <w:r>
              <w:rPr>
                <w:rFonts w:ascii="Arial" w:hAnsi="Arial"/>
                <w:b w:val="0"/>
                <w:sz w:val="16"/>
              </w:rPr>
              <w:t>Monthly</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EN-03</w:t>
            </w:r>
          </w:p>
        </w:tc>
        <w:tc>
          <w:tcPr>
            <w:tcW w:type="dxa" w:w="2880"/>
          </w:tcPr>
          <w:p>
            <w:r/>
            <w:r>
              <w:rPr>
                <w:rFonts w:ascii="Arial" w:hAnsi="Arial"/>
                <w:b w:val="0"/>
                <w:sz w:val="16"/>
              </w:rPr>
              <w:t>Effluent / pollution</w:t>
            </w:r>
          </w:p>
        </w:tc>
        <w:tc>
          <w:tcPr>
            <w:tcW w:type="dxa" w:w="3744"/>
          </w:tcPr>
          <w:p>
            <w:r/>
            <w:r>
              <w:rPr>
                <w:rFonts w:ascii="Arial" w:hAnsi="Arial"/>
                <w:b w:val="0"/>
                <w:sz w:val="16"/>
              </w:rPr>
              <w:t>Controls and monitoring</w:t>
            </w:r>
          </w:p>
        </w:tc>
        <w:tc>
          <w:tcPr>
            <w:tcW w:type="dxa" w:w="1728"/>
          </w:tcPr>
          <w:p>
            <w:r/>
            <w:r>
              <w:rPr>
                <w:rFonts w:ascii="Arial" w:hAnsi="Arial"/>
                <w:b w:val="0"/>
                <w:sz w:val="16"/>
              </w:rPr>
              <w:t>EHS</w:t>
            </w:r>
          </w:p>
        </w:tc>
        <w:tc>
          <w:tcPr>
            <w:tcW w:type="dxa" w:w="1296"/>
          </w:tcPr>
          <w:p>
            <w:r/>
            <w:r>
              <w:rPr>
                <w:rFonts w:ascii="Arial" w:hAnsi="Arial"/>
                <w:b w:val="0"/>
                <w:sz w:val="16"/>
              </w:rPr>
              <w:t>Continuous</w:t>
            </w:r>
          </w:p>
        </w:tc>
        <w:tc>
          <w:tcPr>
            <w:tcW w:type="dxa" w:w="1296"/>
          </w:tcPr>
          <w:p>
            <w:r/>
            <w:r>
              <w:rPr>
                <w:rFonts w:ascii="Arial" w:hAnsi="Arial"/>
                <w:b w:val="0"/>
                <w:sz w:val="16"/>
              </w:rPr>
              <w:t>Detective</w:t>
            </w:r>
          </w:p>
        </w:tc>
      </w:tr>
      <w:tr>
        <w:tc>
          <w:tcPr>
            <w:tcW w:type="dxa" w:w="864"/>
            <w:shd w:val="clear" w:fill="F4F7FB"/>
          </w:tcPr>
          <w:p>
            <w:r/>
            <w:r>
              <w:rPr>
                <w:rFonts w:ascii="Arial" w:hAnsi="Arial"/>
                <w:b w:val="0"/>
                <w:sz w:val="16"/>
              </w:rPr>
              <w:t>EN-04</w:t>
            </w:r>
          </w:p>
        </w:tc>
        <w:tc>
          <w:tcPr>
            <w:tcW w:type="dxa" w:w="2880"/>
            <w:shd w:val="clear" w:fill="F4F7FB"/>
          </w:tcPr>
          <w:p>
            <w:r/>
            <w:r>
              <w:rPr>
                <w:rFonts w:ascii="Arial" w:hAnsi="Arial"/>
                <w:b w:val="0"/>
                <w:sz w:val="16"/>
              </w:rPr>
              <w:t>Biodiversity</w:t>
            </w:r>
          </w:p>
        </w:tc>
        <w:tc>
          <w:tcPr>
            <w:tcW w:type="dxa" w:w="3744"/>
            <w:shd w:val="clear" w:fill="F4F7FB"/>
          </w:tcPr>
          <w:p>
            <w:r/>
            <w:r>
              <w:rPr>
                <w:rFonts w:ascii="Arial" w:hAnsi="Arial"/>
                <w:b w:val="0"/>
                <w:sz w:val="16"/>
              </w:rPr>
              <w:t>Impact management plan</w:t>
            </w:r>
          </w:p>
        </w:tc>
        <w:tc>
          <w:tcPr>
            <w:tcW w:type="dxa" w:w="1728"/>
            <w:shd w:val="clear" w:fill="F4F7FB"/>
          </w:tcPr>
          <w:p>
            <w:r/>
            <w:r>
              <w:rPr>
                <w:rFonts w:ascii="Arial" w:hAnsi="Arial"/>
                <w:b w:val="0"/>
                <w:sz w:val="16"/>
              </w:rPr>
              <w:t>Sustainability</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Preventive</w:t>
            </w:r>
          </w:p>
        </w:tc>
      </w:tr>
    </w:tbl>
    <w:p>
      <w:pPr>
        <w:pStyle w:val="Heading1"/>
      </w:pPr>
      <w:r>
        <w:t>7. Sample Controls / Actions</w:t>
      </w:r>
    </w:p>
    <w:p>
      <w:pPr>
        <w:pStyle w:val="ListBullet"/>
      </w:pPr>
      <w:r>
        <w:rPr>
          <w:sz w:val="19"/>
        </w:rPr>
        <w:t>Environmental aspects and impacts registered</w:t>
      </w:r>
    </w:p>
    <w:p>
      <w:pPr>
        <w:pStyle w:val="ListBullet"/>
      </w:pPr>
      <w:r>
        <w:rPr>
          <w:sz w:val="19"/>
        </w:rPr>
        <w:t>Water and effluent managed</w:t>
      </w:r>
    </w:p>
    <w:p>
      <w:pPr>
        <w:pStyle w:val="ListBullet"/>
      </w:pPr>
      <w:r>
        <w:rPr>
          <w:sz w:val="19"/>
        </w:rPr>
        <w:t>Waste reduced and diverted</w:t>
      </w:r>
    </w:p>
    <w:p>
      <w:pPr>
        <w:pStyle w:val="ListBullet"/>
      </w:pPr>
      <w:r>
        <w:rPr>
          <w:sz w:val="19"/>
        </w:rPr>
        <w:t>Biodiversity impacts managed</w:t>
      </w:r>
    </w:p>
    <w:p>
      <w:pPr>
        <w:pStyle w:val="ListBullet"/>
      </w:pPr>
      <w:r>
        <w:rPr>
          <w:sz w:val="19"/>
        </w:rPr>
        <w:t>Environmental compliance maintained</w:t>
      </w:r>
    </w:p>
    <w:p>
      <w:pPr>
        <w:pStyle w:val="Heading1"/>
      </w:pPr>
      <w:r>
        <w:t>8. Measurement &amp; Testing Approach</w:t>
      </w:r>
    </w:p>
    <w:p>
      <w:r>
        <w:rPr>
          <w:b w:val="0"/>
          <w:i w:val="0"/>
          <w:sz w:val="20"/>
        </w:rPr>
        <w:t>Measure performance against targets and test the reliability of ESG data and controls. Use the assessment scale: Effective / Partially effective / Ineffective for controls, and verified/estimated/unverified for data.</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Procedure</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Compliance</w:t>
            </w:r>
          </w:p>
        </w:tc>
        <w:tc>
          <w:tcPr>
            <w:tcW w:type="dxa" w:w="4320"/>
          </w:tcPr>
          <w:p>
            <w:r/>
            <w:r>
              <w:rPr>
                <w:rFonts w:ascii="Arial" w:hAnsi="Arial"/>
                <w:b w:val="0"/>
                <w:sz w:val="16"/>
              </w:rPr>
              <w:t>Review environmental obligations and evidence</w:t>
            </w:r>
          </w:p>
        </w:tc>
        <w:tc>
          <w:tcPr>
            <w:tcW w:type="dxa" w:w="2160"/>
          </w:tcPr>
          <w:p>
            <w:r/>
            <w:r>
              <w:rPr>
                <w:rFonts w:ascii="Arial" w:hAnsi="Arial"/>
                <w:b w:val="0"/>
                <w:sz w:val="16"/>
              </w:rPr>
              <w:t>Full</w:t>
            </w:r>
          </w:p>
        </w:tc>
        <w:tc>
          <w:tcPr>
            <w:tcW w:type="dxa" w:w="1440"/>
          </w:tcPr>
          <w:p>
            <w:r/>
            <w:r>
              <w:rPr>
                <w:rFonts w:ascii="Arial" w:hAnsi="Arial"/>
                <w:b w:val="0"/>
                <w:sz w:val="16"/>
              </w:rPr>
              <w:t>Quarterly</w:t>
            </w:r>
          </w:p>
        </w:tc>
      </w:tr>
      <w:tr>
        <w:tc>
          <w:tcPr>
            <w:tcW w:type="dxa" w:w="2880"/>
            <w:shd w:val="clear" w:fill="F4F7FB"/>
          </w:tcPr>
          <w:p>
            <w:r/>
            <w:r>
              <w:rPr>
                <w:rFonts w:ascii="Arial" w:hAnsi="Arial"/>
                <w:b w:val="0"/>
                <w:sz w:val="16"/>
              </w:rPr>
              <w:t>Water &amp; waste</w:t>
            </w:r>
          </w:p>
        </w:tc>
        <w:tc>
          <w:tcPr>
            <w:tcW w:type="dxa" w:w="4320"/>
            <w:shd w:val="clear" w:fill="F4F7FB"/>
          </w:tcPr>
          <w:p>
            <w:r/>
            <w:r>
              <w:rPr>
                <w:rFonts w:ascii="Arial" w:hAnsi="Arial"/>
                <w:b w:val="0"/>
                <w:sz w:val="16"/>
              </w:rPr>
              <w:t>Check metrics against targets and trends</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Monthly</w:t>
            </w:r>
          </w:p>
        </w:tc>
      </w:tr>
      <w:tr>
        <w:tc>
          <w:tcPr>
            <w:tcW w:type="dxa" w:w="2880"/>
          </w:tcPr>
          <w:p>
            <w:r/>
            <w:r>
              <w:rPr>
                <w:rFonts w:ascii="Arial" w:hAnsi="Arial"/>
                <w:b w:val="0"/>
                <w:sz w:val="16"/>
              </w:rPr>
              <w:t>Incidents</w:t>
            </w:r>
          </w:p>
        </w:tc>
        <w:tc>
          <w:tcPr>
            <w:tcW w:type="dxa" w:w="4320"/>
          </w:tcPr>
          <w:p>
            <w:r/>
            <w:r>
              <w:rPr>
                <w:rFonts w:ascii="Arial" w:hAnsi="Arial"/>
                <w:b w:val="0"/>
                <w:sz w:val="16"/>
              </w:rPr>
              <w:t>Review incident log and corrective actions</w:t>
            </w:r>
          </w:p>
        </w:tc>
        <w:tc>
          <w:tcPr>
            <w:tcW w:type="dxa" w:w="2160"/>
          </w:tcPr>
          <w:p>
            <w:r/>
            <w:r>
              <w:rPr>
                <w:rFonts w:ascii="Arial" w:hAnsi="Arial"/>
                <w:b w:val="0"/>
                <w:sz w:val="16"/>
              </w:rPr>
              <w:t>Full population</w:t>
            </w:r>
          </w:p>
        </w:tc>
        <w:tc>
          <w:tcPr>
            <w:tcW w:type="dxa" w:w="1440"/>
          </w:tcPr>
          <w:p>
            <w:r/>
            <w:r>
              <w:rPr>
                <w:rFonts w:ascii="Arial" w:hAnsi="Arial"/>
                <w:b w:val="0"/>
                <w:sz w:val="16"/>
              </w:rPr>
              <w:t>Quarterly</w:t>
            </w:r>
          </w:p>
        </w:tc>
      </w:tr>
    </w:tbl>
    <w:p>
      <w:r>
        <w:rPr>
          <w:b w:val="0"/>
          <w:i/>
          <w:sz w:val="18"/>
        </w:rPr>
        <w:t>Record results in the relevant workbook (e.g. ESG KPI Workbook, ESG Data Collection Workbook) and track gaps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Identify aspects and impacts</w:t>
            </w:r>
          </w:p>
        </w:tc>
        <w:tc>
          <w:tcPr>
            <w:tcW w:type="dxa" w:w="4320"/>
          </w:tcPr>
          <w:p>
            <w:r/>
            <w:r>
              <w:rPr>
                <w:rFonts w:ascii="Arial" w:hAnsi="Arial"/>
                <w:b w:val="0"/>
                <w:sz w:val="17"/>
              </w:rPr>
              <w:t>Environmental register</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Implement water/waste/biodiversity controls</w:t>
            </w:r>
          </w:p>
        </w:tc>
        <w:tc>
          <w:tcPr>
            <w:tcW w:type="dxa" w:w="4320"/>
            <w:shd w:val="clear" w:fill="F4F7FB"/>
          </w:tcPr>
          <w:p>
            <w:r/>
            <w:r>
              <w:rPr>
                <w:rFonts w:ascii="Arial" w:hAnsi="Arial"/>
                <w:b w:val="0"/>
                <w:sz w:val="17"/>
              </w:rPr>
              <w:t>Operating controls</w:t>
            </w:r>
          </w:p>
        </w:tc>
      </w:tr>
      <w:tr>
        <w:tc>
          <w:tcPr>
            <w:tcW w:type="dxa" w:w="1872"/>
          </w:tcPr>
          <w:p>
            <w:r/>
            <w:r>
              <w:rPr>
                <w:rFonts w:ascii="Arial" w:hAnsi="Arial"/>
                <w:b w:val="0"/>
                <w:sz w:val="17"/>
              </w:rPr>
              <w:t>Phase 3</w:t>
            </w:r>
          </w:p>
        </w:tc>
        <w:tc>
          <w:tcPr>
            <w:tcW w:type="dxa" w:w="5328"/>
          </w:tcPr>
          <w:p>
            <w:r/>
            <w:r>
              <w:rPr>
                <w:rFonts w:ascii="Arial" w:hAnsi="Arial"/>
                <w:b w:val="0"/>
                <w:sz w:val="17"/>
              </w:rPr>
              <w:t>Drive circularity and efficiency</w:t>
            </w:r>
          </w:p>
        </w:tc>
        <w:tc>
          <w:tcPr>
            <w:tcW w:type="dxa" w:w="4320"/>
          </w:tcPr>
          <w:p>
            <w:r/>
            <w:r>
              <w:rPr>
                <w:rFonts w:ascii="Arial" w:hAnsi="Arial"/>
                <w:b w:val="0"/>
                <w:sz w:val="17"/>
              </w:rPr>
              <w:t>Reduced impact</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Monitor and assure compliance</w:t>
            </w:r>
          </w:p>
        </w:tc>
        <w:tc>
          <w:tcPr>
            <w:tcW w:type="dxa" w:w="4320"/>
            <w:shd w:val="clear" w:fill="F4F7FB"/>
          </w:tcPr>
          <w:p>
            <w:r/>
            <w:r>
              <w:rPr>
                <w:rFonts w:ascii="Arial" w:hAnsi="Arial"/>
                <w:b w:val="0"/>
                <w:sz w:val="17"/>
              </w:rPr>
              <w:t>Compliant operations</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Environmental Management Policy</w:t>
      </w:r>
    </w:p>
    <w:p>
      <w:pPr>
        <w:pStyle w:val="ListBullet"/>
      </w:pPr>
      <w:r>
        <w:rPr>
          <w:sz w:val="19"/>
        </w:rPr>
        <w:t>Environmental Aspects &amp; Impacts Register</w:t>
      </w:r>
    </w:p>
    <w:p>
      <w:pPr>
        <w:pStyle w:val="ListBullet"/>
      </w:pPr>
      <w:r>
        <w:rPr>
          <w:sz w:val="19"/>
        </w:rPr>
        <w:t>Water Management Plan Template</w:t>
      </w:r>
    </w:p>
    <w:p>
      <w:pPr>
        <w:pStyle w:val="ListBullet"/>
      </w:pPr>
      <w:r>
        <w:rPr>
          <w:sz w:val="19"/>
        </w:rPr>
        <w:t>Waste &amp; Circularity Tracker</w:t>
      </w:r>
    </w:p>
    <w:p>
      <w:pPr>
        <w:pStyle w:val="ListBullet"/>
      </w:pPr>
      <w:r>
        <w:rPr>
          <w:sz w:val="19"/>
        </w:rPr>
        <w:t>Environmental Compliance Checklist</w:t>
      </w:r>
    </w:p>
    <w:p>
      <w:pPr>
        <w:pStyle w:val="Heading1"/>
      </w:pPr>
      <w:r>
        <w:t>11. Checklists</w:t>
      </w:r>
    </w:p>
    <w:p>
      <w:pPr>
        <w:ind w:left="288"/>
      </w:pPr>
      <w:r>
        <w:rPr>
          <w:sz w:val="19"/>
        </w:rPr>
        <w:t>☐  Environmental aspects and impacts identified</w:t>
      </w:r>
    </w:p>
    <w:p>
      <w:pPr>
        <w:ind w:left="288"/>
      </w:pPr>
      <w:r>
        <w:rPr>
          <w:sz w:val="19"/>
        </w:rPr>
        <w:t>☐  Significant impacts prioritised</w:t>
      </w:r>
    </w:p>
    <w:p>
      <w:pPr>
        <w:ind w:left="288"/>
      </w:pPr>
      <w:r>
        <w:rPr>
          <w:sz w:val="19"/>
        </w:rPr>
        <w:t>☐  Water management plan operating</w:t>
      </w:r>
    </w:p>
    <w:p>
      <w:pPr>
        <w:ind w:left="288"/>
      </w:pPr>
      <w:r>
        <w:rPr>
          <w:sz w:val="19"/>
        </w:rPr>
        <w:t>☐  Waste and circularity tracked</w:t>
      </w:r>
    </w:p>
    <w:p>
      <w:pPr>
        <w:ind w:left="288"/>
      </w:pPr>
      <w:r>
        <w:rPr>
          <w:sz w:val="19"/>
        </w:rPr>
        <w:t>☐  Effluent and pollution controls operating</w:t>
      </w:r>
    </w:p>
    <w:p>
      <w:pPr>
        <w:ind w:left="288"/>
      </w:pPr>
      <w:r>
        <w:rPr>
          <w:sz w:val="19"/>
        </w:rPr>
        <w:t>☐  Biodiversity action plan in place</w:t>
      </w:r>
    </w:p>
    <w:p>
      <w:pPr>
        <w:ind w:left="288"/>
      </w:pPr>
      <w:r>
        <w:rPr>
          <w:sz w:val="19"/>
        </w:rPr>
        <w:t>☐  Environmental compliance monitored</w:t>
      </w:r>
    </w:p>
    <w:p>
      <w:pPr>
        <w:ind w:left="288"/>
      </w:pPr>
      <w:r>
        <w:rPr>
          <w:sz w:val="19"/>
        </w:rPr>
        <w:t>☐  Incidents managed and reported</w:t>
      </w:r>
    </w:p>
    <w:p>
      <w:pPr>
        <w:pStyle w:val="Heading1"/>
      </w:pPr>
      <w:r>
        <w:t>12. Board Reporting Examples</w:t>
      </w:r>
    </w:p>
    <w:p>
      <w:r>
        <w:rPr>
          <w:b w:val="0"/>
          <w:i w:val="0"/>
          <w:sz w:val="19"/>
        </w:rPr>
        <w:t>Standard ESG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Water intensity</w:t>
            </w:r>
          </w:p>
        </w:tc>
        <w:tc>
          <w:tcPr>
            <w:tcW w:type="dxa" w:w="1440"/>
          </w:tcPr>
          <w:p>
            <w:r/>
            <w:r>
              <w:rPr>
                <w:rFonts w:ascii="Arial" w:hAnsi="Arial"/>
                <w:b w:val="0"/>
                <w:sz w:val="16"/>
              </w:rPr>
              <w:t>Reducing</w:t>
            </w:r>
          </w:p>
        </w:tc>
        <w:tc>
          <w:tcPr>
            <w:tcW w:type="dxa" w:w="1440"/>
          </w:tcPr>
          <w:p>
            <w:r/>
            <w:r>
              <w:rPr>
                <w:rFonts w:ascii="Arial" w:hAnsi="Arial"/>
                <w:b w:val="0"/>
                <w:sz w:val="16"/>
              </w:rPr>
              <w:t>Target</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Drive efficiency</w:t>
            </w:r>
          </w:p>
        </w:tc>
      </w:tr>
      <w:tr>
        <w:tc>
          <w:tcPr>
            <w:tcW w:type="dxa" w:w="3168"/>
            <w:shd w:val="clear" w:fill="F4F7FB"/>
          </w:tcPr>
          <w:p>
            <w:r/>
            <w:r>
              <w:rPr>
                <w:rFonts w:ascii="Arial" w:hAnsi="Arial"/>
                <w:b w:val="0"/>
                <w:sz w:val="16"/>
              </w:rPr>
              <w:t>Waste diverted</w:t>
            </w:r>
          </w:p>
        </w:tc>
        <w:tc>
          <w:tcPr>
            <w:tcW w:type="dxa" w:w="1440"/>
            <w:shd w:val="clear" w:fill="F4F7FB"/>
          </w:tcPr>
          <w:p>
            <w:r/>
            <w:r>
              <w:rPr>
                <w:rFonts w:ascii="Arial" w:hAnsi="Arial"/>
                <w:b w:val="0"/>
                <w:sz w:val="16"/>
              </w:rPr>
              <w:t>68%</w:t>
            </w:r>
          </w:p>
        </w:tc>
        <w:tc>
          <w:tcPr>
            <w:tcW w:type="dxa" w:w="1440"/>
            <w:shd w:val="clear" w:fill="F4F7FB"/>
          </w:tcPr>
          <w:p>
            <w:r/>
            <w:r>
              <w:rPr>
                <w:rFonts w:ascii="Arial" w:hAnsi="Arial"/>
                <w:b w:val="0"/>
                <w:sz w:val="16"/>
              </w:rPr>
              <w:t>≥80%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Increase diversion</w:t>
            </w:r>
          </w:p>
        </w:tc>
      </w:tr>
      <w:tr>
        <w:tc>
          <w:tcPr>
            <w:tcW w:type="dxa" w:w="3168"/>
          </w:tcPr>
          <w:p>
            <w:r/>
            <w:r>
              <w:rPr>
                <w:rFonts w:ascii="Arial" w:hAnsi="Arial"/>
                <w:b w:val="0"/>
                <w:sz w:val="16"/>
              </w:rPr>
              <w:t>Environmental incidents</w:t>
            </w:r>
          </w:p>
        </w:tc>
        <w:tc>
          <w:tcPr>
            <w:tcW w:type="dxa" w:w="1440"/>
          </w:tcPr>
          <w:p>
            <w:r/>
            <w:r>
              <w:rPr>
                <w:rFonts w:ascii="Arial" w:hAnsi="Arial"/>
                <w:b w:val="0"/>
                <w:sz w:val="16"/>
              </w:rPr>
              <w:t>0</w:t>
            </w:r>
          </w:p>
        </w:tc>
        <w:tc>
          <w:tcPr>
            <w:tcW w:type="dxa" w:w="1440"/>
          </w:tcPr>
          <w:p>
            <w:r/>
            <w:r>
              <w:rPr>
                <w:rFonts w:ascii="Arial" w:hAnsi="Arial"/>
                <w:b w:val="0"/>
                <w:sz w:val="16"/>
              </w:rPr>
              <w:t>0</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3168"/>
            <w:shd w:val="clear" w:fill="F4F7FB"/>
          </w:tcPr>
          <w:p>
            <w:r/>
            <w:r>
              <w:rPr>
                <w:rFonts w:ascii="Arial" w:hAnsi="Arial"/>
                <w:b w:val="0"/>
                <w:sz w:val="16"/>
              </w:rPr>
              <w:t>Compliance</w:t>
            </w:r>
          </w:p>
        </w:tc>
        <w:tc>
          <w:tcPr>
            <w:tcW w:type="dxa" w:w="1440"/>
            <w:shd w:val="clear" w:fill="F4F7FB"/>
          </w:tcPr>
          <w:p>
            <w:r/>
            <w:r>
              <w:rPr>
                <w:rFonts w:ascii="Arial" w:hAnsi="Arial"/>
                <w:b w:val="0"/>
                <w:sz w:val="16"/>
              </w:rPr>
              <w:t>Met</w:t>
            </w:r>
          </w:p>
        </w:tc>
        <w:tc>
          <w:tcPr>
            <w:tcW w:type="dxa" w:w="1440"/>
            <w:shd w:val="clear" w:fill="F4F7FB"/>
          </w:tcPr>
          <w:p>
            <w:r/>
            <w:r>
              <w:rPr>
                <w:rFonts w:ascii="Arial" w:hAnsi="Arial"/>
                <w:b w:val="0"/>
                <w:sz w:val="16"/>
              </w:rPr>
              <w:t>100%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1"/>
      </w:pPr>
      <w:r>
        <w:t>13. Board / ESG Committee Reporting</w:t>
      </w:r>
    </w:p>
    <w:p>
      <w:r>
        <w:rPr>
          <w:b w:val="0"/>
          <w:i/>
          <w:sz w:val="19"/>
        </w:rPr>
        <w:t>Illustrative one-page summary for the board / ESG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Environmental management</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Operating; water &amp; waste improving</w:t>
            </w:r>
          </w:p>
        </w:tc>
      </w:tr>
      <w:tr>
        <w:tc>
          <w:tcPr>
            <w:tcW w:type="dxa" w:w="2736"/>
            <w:shd w:val="clear" w:fill="F4F7FB"/>
          </w:tcPr>
          <w:p>
            <w:r/>
            <w:r>
              <w:rPr>
                <w:rFonts w:ascii="Arial" w:hAnsi="Arial"/>
                <w:b w:val="0"/>
                <w:sz w:val="16"/>
              </w:rPr>
              <w:t>Compliance</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Obligations met</w:t>
            </w:r>
          </w:p>
        </w:tc>
      </w:tr>
      <w:tr>
        <w:tc>
          <w:tcPr>
            <w:tcW w:type="dxa" w:w="2736"/>
          </w:tcPr>
          <w:p>
            <w:r/>
            <w:r>
              <w:rPr>
                <w:rFonts w:ascii="Arial" w:hAnsi="Arial"/>
                <w:b w:val="0"/>
                <w:sz w:val="16"/>
              </w:rPr>
              <w:t>Incidents</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None this period</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circularity programme</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ESG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Performance at or above target; well managed</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Performance below target or partially managed</w:t>
            </w:r>
          </w:p>
        </w:tc>
        <w:tc>
          <w:tcPr>
            <w:tcW w:type="dxa" w:w="2880"/>
            <w:shd w:val="clear" w:fill="F4F7FB"/>
          </w:tcPr>
          <w:p>
            <w:r/>
            <w:r>
              <w:rPr>
                <w:rFonts w:ascii="Arial" w:hAnsi="Arial"/>
                <w:b w:val="0"/>
                <w:sz w:val="16"/>
              </w:rPr>
              <w:t>Improve and re-measure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Significantly below target or unmanaged risk</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