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Risk Committee Charter</w:t>
      </w:r>
    </w:p>
    <w:p>
      <w:pPr>
        <w:jc w:val="center"/>
      </w:pPr>
      <w:r>
        <w:rPr>
          <w:color w:val="C97B2C"/>
          <w:sz w:val="26"/>
        </w:rPr>
        <w:t>Terms of reference</w:t>
      </w:r>
    </w:p>
    <w:p/>
    <w:p/>
    <w:p>
      <w:pPr>
        <w:jc w:val="center"/>
      </w:pPr>
      <w:r>
        <w:rPr>
          <w:color w:val="555555"/>
          <w:sz w:val="20"/>
        </w:rPr>
        <w:t>Board / Committee Chair / Members  ·  Flagship Edition 2026</w:t>
      </w:r>
    </w:p>
    <w:p>
      <w:pPr>
        <w:jc w:val="center"/>
      </w:pPr>
      <w:r>
        <w:rPr>
          <w:i/>
          <w:color w:val="555555"/>
          <w:sz w:val="18"/>
        </w:rPr>
        <w:t>Outliers Professionals Ltd — Board Excellence Centre Resource Library</w:t>
      </w:r>
    </w:p>
    <w:p>
      <w:r>
        <w:br w:type="page"/>
      </w:r>
    </w:p>
    <w:p>
      <w:pPr>
        <w:pStyle w:val="Heading1"/>
      </w:pPr>
      <w:r>
        <w:t>1. Purpose</w:t>
      </w:r>
    </w:p>
    <w:p>
      <w:r>
        <w:rPr>
          <w:b w:val="0"/>
          <w:i w:val="0"/>
          <w:sz w:val="20"/>
        </w:rPr>
        <w:t>The Risk Committee oversees the risk-management framework, risk appetite and principal risks on behalf of the board. This charter is a template; confirm provisions against NCCG 2018, FRCN and the relevant sector guidelines (by name).</w:t>
      </w:r>
    </w:p>
    <w:p>
      <w:pPr>
        <w:pStyle w:val="Heading1"/>
      </w:pPr>
      <w:r>
        <w:t>2. Authority</w:t>
      </w:r>
    </w:p>
    <w:p>
      <w:r>
        <w:rPr>
          <w:b w:val="0"/>
          <w:i w:val="0"/>
          <w:sz w:val="20"/>
        </w:rPr>
        <w:t>The committee operates under delegation from the board and may obtain information and external advice as needed within its mandate.</w:t>
      </w:r>
    </w:p>
    <w:p>
      <w:pPr>
        <w:pStyle w:val="Heading1"/>
      </w:pPr>
      <w:r>
        <w:t>3. Composition</w:t>
      </w:r>
    </w:p>
    <w:tbl>
      <w:tblPr>
        <w:tblStyle w:val="TableGrid"/>
        <w:tblW w:type="auto" w:w="0"/>
        <w:jc w:val="center"/>
        <w:tblLook w:firstColumn="1" w:firstRow="1" w:lastColumn="0" w:lastRow="0" w:noHBand="0" w:noVBand="1" w:val="04A0"/>
      </w:tblPr>
      <w:tblGrid>
        <w:gridCol w:w="4896"/>
        <w:gridCol w:w="4896"/>
      </w:tblGrid>
      <w:tr>
        <w:tc>
          <w:tcPr>
            <w:tcW w:type="dxa" w:w="2880"/>
            <w:shd w:val="clear" w:fill="1B4D89"/>
          </w:tcPr>
          <w:p>
            <w:r/>
            <w:r>
              <w:rPr>
                <w:rFonts w:ascii="Arial" w:hAnsi="Arial"/>
                <w:b/>
                <w:color w:val="FFFFFF"/>
                <w:sz w:val="16"/>
              </w:rPr>
              <w:t>Item</w:t>
            </w:r>
          </w:p>
        </w:tc>
        <w:tc>
          <w:tcPr>
            <w:tcW w:type="dxa" w:w="8640"/>
            <w:shd w:val="clear" w:fill="1B4D89"/>
          </w:tcPr>
          <w:p>
            <w:r/>
            <w:r>
              <w:rPr>
                <w:rFonts w:ascii="Arial" w:hAnsi="Arial"/>
                <w:b/>
                <w:color w:val="FFFFFF"/>
                <w:sz w:val="16"/>
              </w:rPr>
              <w:t>Provision</w:t>
            </w:r>
          </w:p>
        </w:tc>
      </w:tr>
      <w:tr>
        <w:tc>
          <w:tcPr>
            <w:tcW w:type="dxa" w:w="2880"/>
          </w:tcPr>
          <w:p>
            <w:r/>
            <w:r>
              <w:rPr>
                <w:rFonts w:ascii="Arial" w:hAnsi="Arial"/>
                <w:b w:val="0"/>
                <w:sz w:val="16"/>
              </w:rPr>
              <w:t>Members</w:t>
            </w:r>
          </w:p>
        </w:tc>
        <w:tc>
          <w:tcPr>
            <w:tcW w:type="dxa" w:w="8640"/>
          </w:tcPr>
          <w:p>
            <w:r/>
            <w:r>
              <w:rPr>
                <w:rFonts w:ascii="Arial" w:hAnsi="Arial"/>
                <w:b w:val="0"/>
                <w:sz w:val="16"/>
              </w:rPr>
              <w:t>[number] non-executive directors</w:t>
            </w:r>
          </w:p>
        </w:tc>
      </w:tr>
      <w:tr>
        <w:tc>
          <w:tcPr>
            <w:tcW w:type="dxa" w:w="2880"/>
            <w:shd w:val="clear" w:fill="F4F7FB"/>
          </w:tcPr>
          <w:p>
            <w:r/>
            <w:r>
              <w:rPr>
                <w:rFonts w:ascii="Arial" w:hAnsi="Arial"/>
                <w:b w:val="0"/>
                <w:sz w:val="16"/>
              </w:rPr>
              <w:t>Chair</w:t>
            </w:r>
          </w:p>
        </w:tc>
        <w:tc>
          <w:tcPr>
            <w:tcW w:type="dxa" w:w="8640"/>
            <w:shd w:val="clear" w:fill="F4F7FB"/>
          </w:tcPr>
          <w:p>
            <w:r/>
            <w:r>
              <w:rPr>
                <w:rFonts w:ascii="Arial" w:hAnsi="Arial"/>
                <w:b w:val="0"/>
                <w:sz w:val="16"/>
              </w:rPr>
              <w:t>Independent non-executive director</w:t>
            </w:r>
          </w:p>
        </w:tc>
      </w:tr>
      <w:tr>
        <w:tc>
          <w:tcPr>
            <w:tcW w:type="dxa" w:w="2880"/>
          </w:tcPr>
          <w:p>
            <w:r/>
            <w:r>
              <w:rPr>
                <w:rFonts w:ascii="Arial" w:hAnsi="Arial"/>
                <w:b w:val="0"/>
                <w:sz w:val="16"/>
              </w:rPr>
              <w:t>Quorum</w:t>
            </w:r>
          </w:p>
        </w:tc>
        <w:tc>
          <w:tcPr>
            <w:tcW w:type="dxa" w:w="8640"/>
          </w:tcPr>
          <w:p>
            <w:r/>
            <w:r>
              <w:rPr>
                <w:rFonts w:ascii="Arial" w:hAnsi="Arial"/>
                <w:b w:val="0"/>
                <w:sz w:val="16"/>
              </w:rPr>
              <w:t>[number] members</w:t>
            </w:r>
          </w:p>
        </w:tc>
      </w:tr>
      <w:tr>
        <w:tc>
          <w:tcPr>
            <w:tcW w:type="dxa" w:w="2880"/>
            <w:shd w:val="clear" w:fill="F4F7FB"/>
          </w:tcPr>
          <w:p>
            <w:r/>
            <w:r>
              <w:rPr>
                <w:rFonts w:ascii="Arial" w:hAnsi="Arial"/>
                <w:b w:val="0"/>
                <w:sz w:val="16"/>
              </w:rPr>
              <w:t>Attendees</w:t>
            </w:r>
          </w:p>
        </w:tc>
        <w:tc>
          <w:tcPr>
            <w:tcW w:type="dxa" w:w="8640"/>
            <w:shd w:val="clear" w:fill="F4F7FB"/>
          </w:tcPr>
          <w:p>
            <w:r/>
            <w:r>
              <w:rPr>
                <w:rFonts w:ascii="Arial" w:hAnsi="Arial"/>
                <w:b w:val="0"/>
                <w:sz w:val="16"/>
              </w:rPr>
              <w:t>Management and assurance providers by invitation</w:t>
            </w:r>
          </w:p>
        </w:tc>
      </w:tr>
      <w:tr>
        <w:tc>
          <w:tcPr>
            <w:tcW w:type="dxa" w:w="2880"/>
          </w:tcPr>
          <w:p>
            <w:r/>
            <w:r>
              <w:rPr>
                <w:rFonts w:ascii="Arial" w:hAnsi="Arial"/>
                <w:b w:val="0"/>
                <w:sz w:val="16"/>
              </w:rPr>
              <w:t>Secretary</w:t>
            </w:r>
          </w:p>
        </w:tc>
        <w:tc>
          <w:tcPr>
            <w:tcW w:type="dxa" w:w="8640"/>
          </w:tcPr>
          <w:p>
            <w:r/>
            <w:r>
              <w:rPr>
                <w:rFonts w:ascii="Arial" w:hAnsi="Arial"/>
                <w:b w:val="0"/>
                <w:sz w:val="16"/>
              </w:rPr>
              <w:t>Company Secretary</w:t>
            </w:r>
          </w:p>
        </w:tc>
      </w:tr>
    </w:tbl>
    <w:p>
      <w:pPr>
        <w:pStyle w:val="Heading1"/>
      </w:pPr>
      <w:r>
        <w:t>4. Responsibilities</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Area</w:t>
            </w:r>
          </w:p>
        </w:tc>
        <w:tc>
          <w:tcPr>
            <w:tcW w:type="dxa" w:w="8352"/>
            <w:shd w:val="clear" w:fill="1B4D89"/>
          </w:tcPr>
          <w:p>
            <w:r/>
            <w:r>
              <w:rPr>
                <w:rFonts w:ascii="Arial" w:hAnsi="Arial"/>
                <w:b/>
                <w:color w:val="FFFFFF"/>
                <w:sz w:val="16"/>
              </w:rPr>
              <w:t>Responsibility</w:t>
            </w:r>
          </w:p>
        </w:tc>
      </w:tr>
      <w:tr>
        <w:tc>
          <w:tcPr>
            <w:tcW w:type="dxa" w:w="3168"/>
          </w:tcPr>
          <w:p>
            <w:r/>
            <w:r>
              <w:rPr>
                <w:rFonts w:ascii="Arial" w:hAnsi="Arial"/>
                <w:b w:val="0"/>
                <w:sz w:val="16"/>
              </w:rPr>
              <w:t>Risk appetite</w:t>
            </w:r>
          </w:p>
        </w:tc>
        <w:tc>
          <w:tcPr>
            <w:tcW w:type="dxa" w:w="8352"/>
          </w:tcPr>
          <w:p>
            <w:r/>
            <w:r>
              <w:rPr>
                <w:rFonts w:ascii="Arial" w:hAnsi="Arial"/>
                <w:b w:val="0"/>
                <w:sz w:val="16"/>
              </w:rPr>
              <w:t>Oversee and recommend risk appetite</w:t>
            </w:r>
          </w:p>
        </w:tc>
      </w:tr>
      <w:tr>
        <w:tc>
          <w:tcPr>
            <w:tcW w:type="dxa" w:w="3168"/>
            <w:shd w:val="clear" w:fill="F4F7FB"/>
          </w:tcPr>
          <w:p>
            <w:r/>
            <w:r>
              <w:rPr>
                <w:rFonts w:ascii="Arial" w:hAnsi="Arial"/>
                <w:b w:val="0"/>
                <w:sz w:val="16"/>
              </w:rPr>
              <w:t>Risk framework</w:t>
            </w:r>
          </w:p>
        </w:tc>
        <w:tc>
          <w:tcPr>
            <w:tcW w:type="dxa" w:w="8352"/>
            <w:shd w:val="clear" w:fill="F4F7FB"/>
          </w:tcPr>
          <w:p>
            <w:r/>
            <w:r>
              <w:rPr>
                <w:rFonts w:ascii="Arial" w:hAnsi="Arial"/>
                <w:b w:val="0"/>
                <w:sz w:val="16"/>
              </w:rPr>
              <w:t>Oversee the risk-management framework</w:t>
            </w:r>
          </w:p>
        </w:tc>
      </w:tr>
      <w:tr>
        <w:tc>
          <w:tcPr>
            <w:tcW w:type="dxa" w:w="3168"/>
          </w:tcPr>
          <w:p>
            <w:r/>
            <w:r>
              <w:rPr>
                <w:rFonts w:ascii="Arial" w:hAnsi="Arial"/>
                <w:b w:val="0"/>
                <w:sz w:val="16"/>
              </w:rPr>
              <w:t>Principal risks</w:t>
            </w:r>
          </w:p>
        </w:tc>
        <w:tc>
          <w:tcPr>
            <w:tcW w:type="dxa" w:w="8352"/>
          </w:tcPr>
          <w:p>
            <w:r/>
            <w:r>
              <w:rPr>
                <w:rFonts w:ascii="Arial" w:hAnsi="Arial"/>
                <w:b w:val="0"/>
                <w:sz w:val="16"/>
              </w:rPr>
              <w:t>Oversee principal and emerging risks</w:t>
            </w:r>
          </w:p>
        </w:tc>
      </w:tr>
      <w:tr>
        <w:tc>
          <w:tcPr>
            <w:tcW w:type="dxa" w:w="3168"/>
            <w:shd w:val="clear" w:fill="F4F7FB"/>
          </w:tcPr>
          <w:p>
            <w:r/>
            <w:r>
              <w:rPr>
                <w:rFonts w:ascii="Arial" w:hAnsi="Arial"/>
                <w:b w:val="0"/>
                <w:sz w:val="16"/>
              </w:rPr>
              <w:t>Controls assurance</w:t>
            </w:r>
          </w:p>
        </w:tc>
        <w:tc>
          <w:tcPr>
            <w:tcW w:type="dxa" w:w="8352"/>
            <w:shd w:val="clear" w:fill="F4F7FB"/>
          </w:tcPr>
          <w:p>
            <w:r/>
            <w:r>
              <w:rPr>
                <w:rFonts w:ascii="Arial" w:hAnsi="Arial"/>
                <w:b w:val="0"/>
                <w:sz w:val="16"/>
              </w:rPr>
              <w:t>Obtain assurance over key controls</w:t>
            </w:r>
          </w:p>
        </w:tc>
      </w:tr>
      <w:tr>
        <w:tc>
          <w:tcPr>
            <w:tcW w:type="dxa" w:w="3168"/>
          </w:tcPr>
          <w:p>
            <w:r/>
            <w:r>
              <w:rPr>
                <w:rFonts w:ascii="Arial" w:hAnsi="Arial"/>
                <w:b w:val="0"/>
                <w:sz w:val="16"/>
              </w:rPr>
              <w:t>Reporting</w:t>
            </w:r>
          </w:p>
        </w:tc>
        <w:tc>
          <w:tcPr>
            <w:tcW w:type="dxa" w:w="8352"/>
          </w:tcPr>
          <w:p>
            <w:r/>
            <w:r>
              <w:rPr>
                <w:rFonts w:ascii="Arial" w:hAnsi="Arial"/>
                <w:b w:val="0"/>
                <w:sz w:val="16"/>
              </w:rPr>
              <w:t>Oversee risk reporting to the board</w:t>
            </w:r>
          </w:p>
        </w:tc>
      </w:tr>
    </w:tbl>
    <w:p>
      <w:pPr>
        <w:pStyle w:val="Heading1"/>
      </w:pPr>
      <w:r>
        <w:t>5. Meetings &amp; Reporting</w:t>
      </w:r>
    </w:p>
    <w:p>
      <w:r>
        <w:rPr>
          <w:b w:val="0"/>
          <w:i w:val="0"/>
          <w:sz w:val="20"/>
        </w:rPr>
        <w:t>The committee meets at least [quarterly] and reports to the board after each meeting. It reviews its terms of reference annually.</w:t>
      </w:r>
    </w:p>
    <w:p>
      <w:pPr>
        <w:pStyle w:val="Heading1"/>
      </w:pPr>
      <w:r>
        <w:t>6. Effectiveness</w:t>
      </w:r>
    </w:p>
    <w:p>
      <w:r>
        <w:rPr>
          <w:b w:val="0"/>
          <w:i w:val="0"/>
          <w:sz w:val="20"/>
        </w:rPr>
        <w:t>The committee assesses its effectiveness at least annually and acts on the results.</w:t>
      </w:r>
    </w:p>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