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Dashboard Design Standard</w:t>
      </w:r>
    </w:p>
    <w:p>
      <w:r>
        <w:rPr>
          <w:i/>
          <w:color w:val="555555"/>
        </w:rPr>
        <w:t>Outliers Professionals — Data &amp; AI Centre™ · Guide · Free</w:t>
      </w:r>
    </w:p>
    <w:p>
      <w:r>
        <w:t>Resource ID: res_dashboard_design_standard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Dashboard Design Standard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KPI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Source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Refresh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Current</w:t>
            </w:r>
          </w:p>
        </w:tc>
      </w:tr>
      <w:tr>
        <w:tc>
          <w:tcPr>
            <w:tcW w:type="dxa" w:w="1440"/>
          </w:tcPr>
          <w:p>
            <w:r>
              <w:t>Active monthly users (BI)</w:t>
            </w:r>
          </w:p>
        </w:tc>
        <w:tc>
          <w:tcPr>
            <w:tcW w:type="dxa" w:w="1440"/>
          </w:tcPr>
          <w:p>
            <w:r>
              <w:t>Head of Analytics</w:t>
            </w:r>
          </w:p>
        </w:tc>
        <w:tc>
          <w:tcPr>
            <w:tcW w:type="dxa" w:w="1440"/>
          </w:tcPr>
          <w:p>
            <w:r>
              <w:t>BI platform</w:t>
            </w:r>
          </w:p>
        </w:tc>
        <w:tc>
          <w:tcPr>
            <w:tcW w:type="dxa" w:w="1440"/>
          </w:tcPr>
          <w:p>
            <w:r>
              <w:t>Daily</w:t>
            </w:r>
          </w:p>
        </w:tc>
        <w:tc>
          <w:tcPr>
            <w:tcW w:type="dxa" w:w="1440"/>
          </w:tcPr>
          <w:p>
            <w:r>
              <w:t>1,200</w:t>
            </w:r>
          </w:p>
        </w:tc>
        <w:tc>
          <w:tcPr>
            <w:tcW w:type="dxa" w:w="1440"/>
          </w:tcPr>
          <w:p>
            <w:r>
              <w:t>980</w:t>
            </w:r>
          </w:p>
        </w:tc>
      </w:tr>
      <w:tr>
        <w:tc>
          <w:tcPr>
            <w:tcW w:type="dxa" w:w="1440"/>
          </w:tcPr>
          <w:p>
            <w:r>
              <w:t>Self-service certified datasets</w:t>
            </w:r>
          </w:p>
        </w:tc>
        <w:tc>
          <w:tcPr>
            <w:tcW w:type="dxa" w:w="1440"/>
          </w:tcPr>
          <w:p>
            <w:r>
              <w:t>Data Governance</w:t>
            </w:r>
          </w:p>
        </w:tc>
        <w:tc>
          <w:tcPr>
            <w:tcW w:type="dxa" w:w="1440"/>
          </w:tcPr>
          <w:p>
            <w:r>
              <w:t>Catalogue</w:t>
            </w:r>
          </w:p>
        </w:tc>
        <w:tc>
          <w:tcPr>
            <w:tcW w:type="dxa" w:w="1440"/>
          </w:tcPr>
          <w:p>
            <w:r>
              <w:t>Weekly</w:t>
            </w:r>
          </w:p>
        </w:tc>
        <w:tc>
          <w:tcPr>
            <w:tcW w:type="dxa" w:w="1440"/>
          </w:tcPr>
          <w:p>
            <w:r>
              <w:t>45</w:t>
            </w:r>
          </w:p>
        </w:tc>
        <w:tc>
          <w:tcPr>
            <w:tcW w:type="dxa" w:w="1440"/>
          </w:tcPr>
          <w:p>
            <w:r>
              <w:t>31</w:t>
            </w:r>
          </w:p>
        </w:tc>
      </w:tr>
      <w:tr>
        <w:tc>
          <w:tcPr>
            <w:tcW w:type="dxa" w:w="1440"/>
          </w:tcPr>
          <w:p>
            <w:r>
              <w:t>Decision adoption rate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Decision log</w:t>
            </w:r>
          </w:p>
        </w:tc>
        <w:tc>
          <w:tcPr>
            <w:tcW w:type="dxa" w:w="1440"/>
          </w:tcPr>
          <w:p>
            <w:r>
              <w:t>Monthly</w:t>
            </w:r>
          </w:p>
        </w:tc>
        <w:tc>
          <w:tcPr>
            <w:tcW w:type="dxa" w:w="1440"/>
          </w:tcPr>
          <w:p>
            <w:r>
              <w:t>75%</w:t>
            </w:r>
          </w:p>
        </w:tc>
        <w:tc>
          <w:tcPr>
            <w:tcW w:type="dxa" w:w="1440"/>
          </w:tcPr>
          <w:p>
            <w:r>
              <w:t>62%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