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Executive Remuneration Policy Template</w:t>
      </w:r>
    </w:p>
    <w:p>
      <w:r>
        <w:rPr>
          <w:i/>
          <w:color w:val="445577"/>
        </w:rPr>
        <w:t>Outliers Board Excellence Centre™ | Board Excellence Resource</w:t>
      </w:r>
    </w:p>
    <w:p/>
    <w:p>
      <w:pPr>
        <w:pStyle w:val="Heading1"/>
      </w:pPr>
      <w:r>
        <w:t>Purpose</w:t>
      </w:r>
    </w:p>
    <w:p>
      <w:r>
        <w:t>Executive Remuneration Policy Template provides a board-approved policy framework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Executive Remuneration Policy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