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Risk Reporting Pack</w:t>
      </w:r>
    </w:p>
    <w:p>
      <w:pPr>
        <w:jc w:val="center"/>
      </w:pPr>
      <w:r>
        <w:rPr>
          <w:color w:val="C97B2C"/>
          <w:sz w:val="26"/>
        </w:rPr>
        <w:t>Standard management &amp; committee risk report</w:t>
      </w:r>
    </w:p>
    <w:p/>
    <w:p/>
    <w:p>
      <w:pPr>
        <w:jc w:val="center"/>
      </w:pPr>
      <w:r>
        <w:rPr>
          <w:color w:val="555555"/>
          <w:sz w:val="20"/>
        </w:rPr>
        <w:t>CRO / Risk Function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Report Structure</w:t>
      </w:r>
    </w:p>
    <w:p>
      <w:pPr>
        <w:pStyle w:val="ListNumber"/>
      </w:pPr>
      <w:r>
        <w:rPr>
          <w:sz w:val="19"/>
        </w:rPr>
        <w:t>Executive summary &amp; key messages</w:t>
      </w:r>
    </w:p>
    <w:p>
      <w:pPr>
        <w:pStyle w:val="ListNumber"/>
      </w:pPr>
      <w:r>
        <w:rPr>
          <w:sz w:val="19"/>
        </w:rPr>
        <w:t>Risk profile vs appetite (RAG)</w:t>
      </w:r>
    </w:p>
    <w:p>
      <w:pPr>
        <w:pStyle w:val="ListNumber"/>
      </w:pPr>
      <w:r>
        <w:rPr>
          <w:sz w:val="19"/>
        </w:rPr>
        <w:t>Top risks &amp; movement (with heat map)</w:t>
      </w:r>
    </w:p>
    <w:p>
      <w:pPr>
        <w:pStyle w:val="ListNumber"/>
      </w:pPr>
      <w:r>
        <w:rPr>
          <w:sz w:val="19"/>
        </w:rPr>
        <w:t>KRIs &amp; breaches</w:t>
      </w:r>
    </w:p>
    <w:p>
      <w:pPr>
        <w:pStyle w:val="ListNumber"/>
      </w:pPr>
      <w:r>
        <w:rPr>
          <w:sz w:val="19"/>
        </w:rPr>
        <w:t>Incidents &amp; losses in the period</w:t>
      </w:r>
    </w:p>
    <w:p>
      <w:pPr>
        <w:pStyle w:val="ListNumber"/>
      </w:pPr>
      <w:r>
        <w:rPr>
          <w:sz w:val="19"/>
        </w:rPr>
        <w:t>Emerging risks</w:t>
      </w:r>
    </w:p>
    <w:p>
      <w:pPr>
        <w:pStyle w:val="ListNumber"/>
      </w:pPr>
      <w:r>
        <w:rPr>
          <w:sz w:val="19"/>
        </w:rPr>
        <w:t>Actions &amp; overdue items</w:t>
      </w:r>
    </w:p>
    <w:p>
      <w:pPr>
        <w:pStyle w:val="ListNumber"/>
      </w:pPr>
      <w:r>
        <w:rPr>
          <w:sz w:val="19"/>
        </w:rPr>
        <w:t>Decisions/escalations sought</w:t>
      </w:r>
    </w:p>
    <w:p>
      <w:pPr>
        <w:pStyle w:val="Heading1"/>
      </w:pPr>
      <w:r>
        <w:t>2. Executive Summary (example)</w:t>
      </w:r>
    </w:p>
    <w:p>
      <w:r>
        <w:rPr>
          <w:b w:val="0"/>
          <w:i w:val="0"/>
          <w:sz w:val="20"/>
        </w:rPr>
        <w:t>The overall risk profile is AMBER. Two risks are above appetite — FX/market and cyber — both with active mitigation. Control effectiveness is 93%. One critical cyber vulnerability is being remediated. No Level 1 crises occurred. The Committee is asked to approve an increased FX hedge ratio.</w:t>
      </w:r>
    </w:p>
    <w:p>
      <w:pPr>
        <w:pStyle w:val="Heading1"/>
      </w:pPr>
      <w:r>
        <w:t>3. Profile vs Appetite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16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 type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9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Liquidity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78 days cash vs ≥60 floor</w:t>
            </w:r>
          </w:p>
        </w:tc>
      </w:tr>
      <w:tr>
        <w:tc>
          <w:tcPr>
            <w:tcW w:type="dxa" w:w="216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FX/Market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9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Cover 62% vs 70% floor; hedging increasing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Operational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2 open critical control issues</w:t>
            </w:r>
          </w:p>
        </w:tc>
      </w:tr>
      <w:tr>
        <w:tc>
          <w:tcPr>
            <w:tcW w:type="dxa" w:w="216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Cyber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79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 critical vulnerability open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/>
                <w:b w:val="0"/>
                <w:sz w:val="16"/>
              </w:rPr>
              <w:t>Fraud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920"/>
          </w:tcPr>
          <w:p>
            <w:r/>
            <w:r>
              <w:rPr>
                <w:rFonts w:ascii="Arial" w:hAnsi="Arial"/>
                <w:b w:val="0"/>
                <w:sz w:val="16"/>
              </w:rPr>
              <w:t>Loss ₦6.5m vs ₦10m tolerance</w:t>
            </w:r>
          </w:p>
        </w:tc>
      </w:tr>
      <w:tr>
        <w:tc>
          <w:tcPr>
            <w:tcW w:type="dxa" w:w="216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Compliance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9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No breaches YTD</w:t>
            </w:r>
          </w:p>
        </w:tc>
      </w:tr>
    </w:tbl>
    <w:p>
      <w:pPr>
        <w:pStyle w:val="Heading1"/>
      </w:pPr>
      <w:r>
        <w:t>4. Top Risks &amp; Movement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Rating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Movement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Owner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FX depreciation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↑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Treasurer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Increase hedge to 70%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Ransomware/cyber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→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CISO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Patch; IR test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Competitor disruption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→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CEO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Accelerate roadmap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Procurement fraud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↓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Int. Audit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Analytics deployed</w:t>
            </w:r>
          </w:p>
        </w:tc>
      </w:tr>
    </w:tbl>
    <w:p>
      <w:pPr>
        <w:pStyle w:val="Heading1"/>
      </w:pPr>
      <w:r>
        <w:t>5. KRIs &amp; Breaches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Days cash on hand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78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≥60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FX cover ratio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62%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≥70%</w:t>
            </w:r>
          </w:p>
        </w:tc>
        <w:tc>
          <w:tcPr>
            <w:tcW w:type="dxa" w:w="1152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Increase cover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vulns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Emergency patch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Overdue actions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Chase owners</w:t>
            </w:r>
          </w:p>
        </w:tc>
      </w:tr>
    </w:tbl>
    <w:p>
      <w:pPr>
        <w:pStyle w:val="Heading1"/>
      </w:pPr>
      <w:r>
        <w:t>6. Decisions/Escalations Sought</w:t>
      </w:r>
    </w:p>
    <w:p>
      <w:pPr>
        <w:pStyle w:val="ListBullet"/>
      </w:pPr>
      <w:r>
        <w:rPr>
          <w:sz w:val="19"/>
        </w:rPr>
        <w:t>Approve increased FX hedge ratio to 70%</w:t>
      </w:r>
    </w:p>
    <w:p>
      <w:pPr>
        <w:pStyle w:val="ListBullet"/>
      </w:pPr>
      <w:r>
        <w:rPr>
          <w:sz w:val="19"/>
        </w:rPr>
        <w:t>Approve funding for 24/7 cyber monitoring</w:t>
      </w:r>
    </w:p>
    <w:p>
      <w:pPr>
        <w:pStyle w:val="ListBullet"/>
      </w:pPr>
      <w:r>
        <w:rPr>
          <w:sz w:val="19"/>
        </w:rPr>
        <w:t>Note overdue actions and revised dates</w:t>
      </w:r>
    </w:p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