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Financial Oversight Checklist</w:t>
      </w:r>
    </w:p>
    <w:p>
      <w:r>
        <w:rPr>
          <w:i/>
          <w:color w:val="445577"/>
        </w:rPr>
        <w:t>Outliers Board Excellence Centre™ | Board Excellence Resource</w:t>
      </w:r>
    </w:p>
    <w:p/>
    <w:p>
      <w:pPr>
        <w:pStyle w:val="Heading1"/>
      </w:pPr>
      <w:r>
        <w:t>Purpose</w:t>
      </w:r>
    </w:p>
    <w:p>
      <w:r>
        <w:t>Financial Oversight Checklist provides a structured checklist for board and committee assurance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Financial Oversight Checklist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