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Social Impact Measurement Guide</w:t>
      </w:r>
    </w:p>
    <w:p>
      <w:r>
        <w:rPr>
          <w:i/>
        </w:rPr>
        <w:t>Outliers Professionals — ESG &amp; Sustainability Centre™</w:t>
      </w:r>
    </w:p>
    <w:p>
      <w:r>
        <w:t>Edition: 2026  •  Classification: Internal  •  Owner: Chief Sustainability Officer</w:t>
      </w:r>
    </w:p>
    <w:p>
      <w:r>
        <w:t>This Social Impact Measurement Guide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'Social Impact Measurement Guide'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Implementation Roadmap</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Phase</w:t>
            </w:r>
          </w:p>
        </w:tc>
        <w:tc>
          <w:tcPr>
            <w:tcW w:type="dxa" w:w="1728"/>
          </w:tcPr>
          <w:p>
            <w:r>
              <w:rPr>
                <w:b/>
              </w:rPr>
              <w:t>Activities</w:t>
            </w:r>
          </w:p>
        </w:tc>
        <w:tc>
          <w:tcPr>
            <w:tcW w:type="dxa" w:w="1728"/>
          </w:tcPr>
          <w:p>
            <w:r>
              <w:rPr>
                <w:b/>
              </w:rPr>
              <w:t>Outputs</w:t>
            </w:r>
          </w:p>
        </w:tc>
        <w:tc>
          <w:tcPr>
            <w:tcW w:type="dxa" w:w="1728"/>
          </w:tcPr>
          <w:p>
            <w:r>
              <w:rPr>
                <w:b/>
              </w:rPr>
              <w:t>Owner</w:t>
            </w:r>
          </w:p>
        </w:tc>
        <w:tc>
          <w:tcPr>
            <w:tcW w:type="dxa" w:w="1728"/>
          </w:tcPr>
          <w:p>
            <w:r>
              <w:rPr>
                <w:b/>
              </w:rPr>
              <w:t>Timeline</w:t>
            </w:r>
          </w:p>
        </w:tc>
      </w:tr>
      <w:tr>
        <w:tc>
          <w:tcPr>
            <w:tcW w:type="dxa" w:w="1728"/>
          </w:tcPr>
          <w:p>
            <w:r>
              <w:t>Diagnose</w:t>
            </w:r>
          </w:p>
        </w:tc>
        <w:tc>
          <w:tcPr>
            <w:tcW w:type="dxa" w:w="1728"/>
          </w:tcPr>
          <w:p>
            <w:r>
              <w:t>Baseline assessment, peer benchmark, gap analysis</w:t>
            </w:r>
          </w:p>
        </w:tc>
        <w:tc>
          <w:tcPr>
            <w:tcW w:type="dxa" w:w="1728"/>
          </w:tcPr>
          <w:p>
            <w:r>
              <w:t>Gap report</w:t>
            </w:r>
          </w:p>
        </w:tc>
        <w:tc>
          <w:tcPr>
            <w:tcW w:type="dxa" w:w="1728"/>
          </w:tcPr>
          <w:p>
            <w:r>
              <w:t>Head of ESG</w:t>
            </w:r>
          </w:p>
        </w:tc>
        <w:tc>
          <w:tcPr>
            <w:tcW w:type="dxa" w:w="1728"/>
          </w:tcPr>
          <w:p>
            <w:r>
              <w:t>Month 1-2</w:t>
            </w:r>
          </w:p>
        </w:tc>
      </w:tr>
      <w:tr>
        <w:tc>
          <w:tcPr>
            <w:tcW w:type="dxa" w:w="1728"/>
          </w:tcPr>
          <w:p>
            <w:r>
              <w:t>Design</w:t>
            </w:r>
          </w:p>
        </w:tc>
        <w:tc>
          <w:tcPr>
            <w:tcW w:type="dxa" w:w="1728"/>
          </w:tcPr>
          <w:p>
            <w:r>
              <w:t>Target setting, operating model, control design</w:t>
            </w:r>
          </w:p>
        </w:tc>
        <w:tc>
          <w:tcPr>
            <w:tcW w:type="dxa" w:w="1728"/>
          </w:tcPr>
          <w:p>
            <w:r>
              <w:t>Strategy paper</w:t>
            </w:r>
          </w:p>
        </w:tc>
        <w:tc>
          <w:tcPr>
            <w:tcW w:type="dxa" w:w="1728"/>
          </w:tcPr>
          <w:p>
            <w:r>
              <w:t>CSO + CFO</w:t>
            </w:r>
          </w:p>
        </w:tc>
        <w:tc>
          <w:tcPr>
            <w:tcW w:type="dxa" w:w="1728"/>
          </w:tcPr>
          <w:p>
            <w:r>
              <w:t>Month 3-4</w:t>
            </w:r>
          </w:p>
        </w:tc>
      </w:tr>
      <w:tr>
        <w:tc>
          <w:tcPr>
            <w:tcW w:type="dxa" w:w="1728"/>
          </w:tcPr>
          <w:p>
            <w:r>
              <w:t>Deploy</w:t>
            </w:r>
          </w:p>
        </w:tc>
        <w:tc>
          <w:tcPr>
            <w:tcW w:type="dxa" w:w="1728"/>
          </w:tcPr>
          <w:p>
            <w:r>
              <w:t>Policy approval, system updates, training</w:t>
            </w:r>
          </w:p>
        </w:tc>
        <w:tc>
          <w:tcPr>
            <w:tcW w:type="dxa" w:w="1728"/>
          </w:tcPr>
          <w:p>
            <w:r>
              <w:t>Operational rollout</w:t>
            </w:r>
          </w:p>
        </w:tc>
        <w:tc>
          <w:tcPr>
            <w:tcW w:type="dxa" w:w="1728"/>
          </w:tcPr>
          <w:p>
            <w:r>
              <w:t>Functions</w:t>
            </w:r>
          </w:p>
        </w:tc>
        <w:tc>
          <w:tcPr>
            <w:tcW w:type="dxa" w:w="1728"/>
          </w:tcPr>
          <w:p>
            <w:r>
              <w:t>Month 5-8</w:t>
            </w:r>
          </w:p>
        </w:tc>
      </w:tr>
      <w:tr>
        <w:tc>
          <w:tcPr>
            <w:tcW w:type="dxa" w:w="1728"/>
          </w:tcPr>
          <w:p>
            <w:r>
              <w:t>Disclose</w:t>
            </w:r>
          </w:p>
        </w:tc>
        <w:tc>
          <w:tcPr>
            <w:tcW w:type="dxa" w:w="1728"/>
          </w:tcPr>
          <w:p>
            <w:r>
              <w:t>Data collection, KPI computation, assurance</w:t>
            </w:r>
          </w:p>
        </w:tc>
        <w:tc>
          <w:tcPr>
            <w:tcW w:type="dxa" w:w="1728"/>
          </w:tcPr>
          <w:p>
            <w:r>
              <w:t>Annual ESG report</w:t>
            </w:r>
          </w:p>
        </w:tc>
        <w:tc>
          <w:tcPr>
            <w:tcW w:type="dxa" w:w="1728"/>
          </w:tcPr>
          <w:p>
            <w:r>
              <w:t>Reporting</w:t>
            </w:r>
          </w:p>
        </w:tc>
        <w:tc>
          <w:tcPr>
            <w:tcW w:type="dxa" w:w="1728"/>
          </w:tcPr>
          <w:p>
            <w:r>
              <w:t>Month 9-11</w:t>
            </w:r>
          </w:p>
        </w:tc>
      </w:tr>
      <w:tr>
        <w:tc>
          <w:tcPr>
            <w:tcW w:type="dxa" w:w="1728"/>
          </w:tcPr>
          <w:p>
            <w:r>
              <w:t>Sustain</w:t>
            </w:r>
          </w:p>
        </w:tc>
        <w:tc>
          <w:tcPr>
            <w:tcW w:type="dxa" w:w="1728"/>
          </w:tcPr>
          <w:p>
            <w:r>
              <w:t>Continuous improvement, board review</w:t>
            </w:r>
          </w:p>
        </w:tc>
        <w:tc>
          <w:tcPr>
            <w:tcW w:type="dxa" w:w="1728"/>
          </w:tcPr>
          <w:p>
            <w:r>
              <w:t>Lessons learned</w:t>
            </w:r>
          </w:p>
        </w:tc>
        <w:tc>
          <w:tcPr>
            <w:tcW w:type="dxa" w:w="1728"/>
          </w:tcPr>
          <w:p>
            <w:r>
              <w:t>ESG Committee</w:t>
            </w:r>
          </w:p>
        </w:tc>
        <w:tc>
          <w:tcPr>
            <w:tcW w:type="dxa" w:w="1728"/>
          </w:tcPr>
          <w:p>
            <w:r>
              <w:t>Month 12+</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