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BOARD EXCELLENCE CENTRE™</w:t>
      </w:r>
    </w:p>
    <w:p>
      <w:pPr>
        <w:jc w:val="center"/>
      </w:pPr>
      <w:r>
        <w:rPr>
          <w:b/>
          <w:color w:val="10243F"/>
          <w:sz w:val="46"/>
        </w:rPr>
        <w:t>Board Charter</w:t>
      </w:r>
    </w:p>
    <w:p>
      <w:pPr>
        <w:jc w:val="center"/>
      </w:pPr>
      <w:r>
        <w:rPr>
          <w:color w:val="C97B2C"/>
          <w:sz w:val="26"/>
        </w:rPr>
        <w:t>Terms of reference for the board</w:t>
      </w:r>
    </w:p>
    <w:p/>
    <w:p/>
    <w:p>
      <w:pPr>
        <w:jc w:val="center"/>
      </w:pPr>
      <w:r>
        <w:rPr>
          <w:color w:val="555555"/>
          <w:sz w:val="20"/>
        </w:rPr>
        <w:t>Board / Chair / Company Secretary  ·  Flagship Edition 2026</w:t>
      </w:r>
    </w:p>
    <w:p>
      <w:pPr>
        <w:jc w:val="center"/>
      </w:pPr>
      <w:r>
        <w:rPr>
          <w:i/>
          <w:color w:val="555555"/>
          <w:sz w:val="18"/>
        </w:rPr>
        <w:t>Outliers Professionals Ltd — Board Excellence Centre Resource Library</w:t>
      </w:r>
    </w:p>
    <w:p>
      <w:r>
        <w:br w:type="page"/>
      </w:r>
    </w:p>
    <w:p>
      <w:pPr>
        <w:pStyle w:val="Heading1"/>
      </w:pPr>
      <w:r>
        <w:t>1. Purpose</w:t>
      </w:r>
    </w:p>
    <w:p>
      <w:r>
        <w:rPr>
          <w:b w:val="0"/>
          <w:i w:val="0"/>
          <w:sz w:val="20"/>
        </w:rPr>
        <w:t>This Board Charter sets out the board's role, authority, composition and operation. It is a template; confirm provisions against CAMA, NCCG 2018 and the company's articles (by name).</w:t>
      </w:r>
    </w:p>
    <w:p>
      <w:pPr>
        <w:pStyle w:val="Heading1"/>
      </w:pPr>
      <w:r>
        <w:t>2. Role of the Board</w:t>
      </w:r>
    </w:p>
    <w:p>
      <w:pPr>
        <w:pStyle w:val="ListBullet"/>
      </w:pPr>
      <w:r>
        <w:rPr>
          <w:sz w:val="19"/>
        </w:rPr>
        <w:t>Set strategy and oversee its execution.</w:t>
      </w:r>
    </w:p>
    <w:p>
      <w:pPr>
        <w:pStyle w:val="ListBullet"/>
      </w:pPr>
      <w:r>
        <w:rPr>
          <w:sz w:val="19"/>
        </w:rPr>
        <w:t>Oversee risk, controls and assurance.</w:t>
      </w:r>
    </w:p>
    <w:p>
      <w:pPr>
        <w:pStyle w:val="ListBullet"/>
      </w:pPr>
      <w:r>
        <w:rPr>
          <w:sz w:val="19"/>
        </w:rPr>
        <w:t>Oversee financial integrity and performance.</w:t>
      </w:r>
    </w:p>
    <w:p>
      <w:pPr>
        <w:pStyle w:val="ListBullet"/>
      </w:pPr>
      <w:r>
        <w:rPr>
          <w:sz w:val="19"/>
        </w:rPr>
        <w:t>Appoint, support and oversee the CEO.</w:t>
      </w:r>
    </w:p>
    <w:p>
      <w:pPr>
        <w:pStyle w:val="ListBullet"/>
      </w:pPr>
      <w:r>
        <w:rPr>
          <w:sz w:val="19"/>
        </w:rPr>
        <w:t>Oversee succession and board composition.</w:t>
      </w:r>
    </w:p>
    <w:p>
      <w:pPr>
        <w:pStyle w:val="ListBullet"/>
      </w:pPr>
      <w:r>
        <w:rPr>
          <w:sz w:val="19"/>
        </w:rPr>
        <w:t>Steward shareholders and stakeholders for long-term value.</w:t>
      </w:r>
    </w:p>
    <w:p>
      <w:pPr>
        <w:pStyle w:val="Heading1"/>
      </w:pPr>
      <w:r>
        <w:t>3. Composition &amp; Roles</w:t>
      </w:r>
    </w:p>
    <w:tbl>
      <w:tblPr>
        <w:tblStyle w:val="TableGrid"/>
        <w:tblW w:type="auto" w:w="0"/>
        <w:jc w:val="center"/>
        <w:tblLook w:firstColumn="1" w:firstRow="1" w:lastColumn="0" w:lastRow="0" w:noHBand="0" w:noVBand="1" w:val="04A0"/>
      </w:tblPr>
      <w:tblGrid>
        <w:gridCol w:w="4896"/>
        <w:gridCol w:w="4896"/>
      </w:tblGrid>
      <w:tr>
        <w:tc>
          <w:tcPr>
            <w:tcW w:type="dxa" w:w="3168"/>
            <w:shd w:val="clear" w:fill="1B4D89"/>
          </w:tcPr>
          <w:p>
            <w:r/>
            <w:r>
              <w:rPr>
                <w:rFonts w:ascii="Arial" w:hAnsi="Arial"/>
                <w:b/>
                <w:color w:val="FFFFFF"/>
                <w:sz w:val="16"/>
              </w:rPr>
              <w:t>Role</w:t>
            </w:r>
          </w:p>
        </w:tc>
        <w:tc>
          <w:tcPr>
            <w:tcW w:type="dxa" w:w="8352"/>
            <w:shd w:val="clear" w:fill="1B4D89"/>
          </w:tcPr>
          <w:p>
            <w:r/>
            <w:r>
              <w:rPr>
                <w:rFonts w:ascii="Arial" w:hAnsi="Arial"/>
                <w:b/>
                <w:color w:val="FFFFFF"/>
                <w:sz w:val="16"/>
              </w:rPr>
              <w:t>Provision</w:t>
            </w:r>
          </w:p>
        </w:tc>
      </w:tr>
      <w:tr>
        <w:tc>
          <w:tcPr>
            <w:tcW w:type="dxa" w:w="3168"/>
          </w:tcPr>
          <w:p>
            <w:r/>
            <w:r>
              <w:rPr>
                <w:rFonts w:ascii="Arial" w:hAnsi="Arial"/>
                <w:b w:val="0"/>
                <w:sz w:val="16"/>
              </w:rPr>
              <w:t>Chair</w:t>
            </w:r>
          </w:p>
        </w:tc>
        <w:tc>
          <w:tcPr>
            <w:tcW w:type="dxa" w:w="8352"/>
          </w:tcPr>
          <w:p>
            <w:r/>
            <w:r>
              <w:rPr>
                <w:rFonts w:ascii="Arial" w:hAnsi="Arial"/>
                <w:b w:val="0"/>
                <w:sz w:val="16"/>
              </w:rPr>
              <w:t>Independent non-executive; leads the board</w:t>
            </w:r>
          </w:p>
        </w:tc>
      </w:tr>
      <w:tr>
        <w:tc>
          <w:tcPr>
            <w:tcW w:type="dxa" w:w="3168"/>
            <w:shd w:val="clear" w:fill="F4F7FB"/>
          </w:tcPr>
          <w:p>
            <w:r/>
            <w:r>
              <w:rPr>
                <w:rFonts w:ascii="Arial" w:hAnsi="Arial"/>
                <w:b w:val="0"/>
                <w:sz w:val="16"/>
              </w:rPr>
              <w:t>Non-executive directors</w:t>
            </w:r>
          </w:p>
        </w:tc>
        <w:tc>
          <w:tcPr>
            <w:tcW w:type="dxa" w:w="8352"/>
            <w:shd w:val="clear" w:fill="F4F7FB"/>
          </w:tcPr>
          <w:p>
            <w:r/>
            <w:r>
              <w:rPr>
                <w:rFonts w:ascii="Arial" w:hAnsi="Arial"/>
                <w:b w:val="0"/>
                <w:sz w:val="16"/>
              </w:rPr>
              <w:t>Provide independent judgement and challenge</w:t>
            </w:r>
          </w:p>
        </w:tc>
      </w:tr>
      <w:tr>
        <w:tc>
          <w:tcPr>
            <w:tcW w:type="dxa" w:w="3168"/>
          </w:tcPr>
          <w:p>
            <w:r/>
            <w:r>
              <w:rPr>
                <w:rFonts w:ascii="Arial" w:hAnsi="Arial"/>
                <w:b w:val="0"/>
                <w:sz w:val="16"/>
              </w:rPr>
              <w:t>Executive directors</w:t>
            </w:r>
          </w:p>
        </w:tc>
        <w:tc>
          <w:tcPr>
            <w:tcW w:type="dxa" w:w="8352"/>
          </w:tcPr>
          <w:p>
            <w:r/>
            <w:r>
              <w:rPr>
                <w:rFonts w:ascii="Arial" w:hAnsi="Arial"/>
                <w:b w:val="0"/>
                <w:sz w:val="16"/>
              </w:rPr>
              <w:t>Bring management insight</w:t>
            </w:r>
          </w:p>
        </w:tc>
      </w:tr>
      <w:tr>
        <w:tc>
          <w:tcPr>
            <w:tcW w:type="dxa" w:w="3168"/>
            <w:shd w:val="clear" w:fill="F4F7FB"/>
          </w:tcPr>
          <w:p>
            <w:r/>
            <w:r>
              <w:rPr>
                <w:rFonts w:ascii="Arial" w:hAnsi="Arial"/>
                <w:b w:val="0"/>
                <w:sz w:val="16"/>
              </w:rPr>
              <w:t>Senior independent director</w:t>
            </w:r>
          </w:p>
        </w:tc>
        <w:tc>
          <w:tcPr>
            <w:tcW w:type="dxa" w:w="8352"/>
            <w:shd w:val="clear" w:fill="F4F7FB"/>
          </w:tcPr>
          <w:p>
            <w:r/>
            <w:r>
              <w:rPr>
                <w:rFonts w:ascii="Arial" w:hAnsi="Arial"/>
                <w:b w:val="0"/>
                <w:sz w:val="16"/>
              </w:rPr>
              <w:t>Supports and appraises the chair</w:t>
            </w:r>
          </w:p>
        </w:tc>
      </w:tr>
      <w:tr>
        <w:tc>
          <w:tcPr>
            <w:tcW w:type="dxa" w:w="3168"/>
          </w:tcPr>
          <w:p>
            <w:r/>
            <w:r>
              <w:rPr>
                <w:rFonts w:ascii="Arial" w:hAnsi="Arial"/>
                <w:b w:val="0"/>
                <w:sz w:val="16"/>
              </w:rPr>
              <w:t>Company Secretary</w:t>
            </w:r>
          </w:p>
        </w:tc>
        <w:tc>
          <w:tcPr>
            <w:tcW w:type="dxa" w:w="8352"/>
          </w:tcPr>
          <w:p>
            <w:r/>
            <w:r>
              <w:rPr>
                <w:rFonts w:ascii="Arial" w:hAnsi="Arial"/>
                <w:b w:val="0"/>
                <w:sz w:val="16"/>
              </w:rPr>
              <w:t>Advises on governance and process</w:t>
            </w:r>
          </w:p>
        </w:tc>
      </w:tr>
    </w:tbl>
    <w:p>
      <w:pPr>
        <w:pStyle w:val="Heading1"/>
      </w:pPr>
      <w:r>
        <w:t>4. Reserved Matters</w:t>
      </w:r>
    </w:p>
    <w:p>
      <w:r>
        <w:rPr>
          <w:b w:val="0"/>
          <w:i w:val="0"/>
          <w:sz w:val="20"/>
        </w:rPr>
        <w:t>The board reserves key decisions to itself, including [strategy, major transactions, capital, risk appetite, board appointments and CEO appointment]. Tailor the reserved-matters schedule to the organisation.</w:t>
      </w:r>
    </w:p>
    <w:p>
      <w:pPr>
        <w:pStyle w:val="Heading1"/>
      </w:pPr>
      <w:r>
        <w:t>5. Meetings &amp; Operation</w:t>
      </w:r>
    </w:p>
    <w:tbl>
      <w:tblPr>
        <w:tblStyle w:val="TableGrid"/>
        <w:tblW w:type="auto" w:w="0"/>
        <w:jc w:val="center"/>
        <w:tblLook w:firstColumn="1" w:firstRow="1" w:lastColumn="0" w:lastRow="0" w:noHBand="0" w:noVBand="1" w:val="04A0"/>
      </w:tblPr>
      <w:tblGrid>
        <w:gridCol w:w="4896"/>
        <w:gridCol w:w="4896"/>
      </w:tblGrid>
      <w:tr>
        <w:tc>
          <w:tcPr>
            <w:tcW w:type="dxa" w:w="2880"/>
            <w:shd w:val="clear" w:fill="1B4D89"/>
          </w:tcPr>
          <w:p>
            <w:r/>
            <w:r>
              <w:rPr>
                <w:rFonts w:ascii="Arial" w:hAnsi="Arial"/>
                <w:b/>
                <w:color w:val="FFFFFF"/>
                <w:sz w:val="16"/>
              </w:rPr>
              <w:t>Item</w:t>
            </w:r>
          </w:p>
        </w:tc>
        <w:tc>
          <w:tcPr>
            <w:tcW w:type="dxa" w:w="8640"/>
            <w:shd w:val="clear" w:fill="1B4D89"/>
          </w:tcPr>
          <w:p>
            <w:r/>
            <w:r>
              <w:rPr>
                <w:rFonts w:ascii="Arial" w:hAnsi="Arial"/>
                <w:b/>
                <w:color w:val="FFFFFF"/>
                <w:sz w:val="16"/>
              </w:rPr>
              <w:t>Provision</w:t>
            </w:r>
          </w:p>
        </w:tc>
      </w:tr>
      <w:tr>
        <w:tc>
          <w:tcPr>
            <w:tcW w:type="dxa" w:w="2880"/>
          </w:tcPr>
          <w:p>
            <w:r/>
            <w:r>
              <w:rPr>
                <w:rFonts w:ascii="Arial" w:hAnsi="Arial"/>
                <w:b w:val="0"/>
                <w:sz w:val="16"/>
              </w:rPr>
              <w:t>Frequency</w:t>
            </w:r>
          </w:p>
        </w:tc>
        <w:tc>
          <w:tcPr>
            <w:tcW w:type="dxa" w:w="8640"/>
          </w:tcPr>
          <w:p>
            <w:r/>
            <w:r>
              <w:rPr>
                <w:rFonts w:ascii="Arial" w:hAnsi="Arial"/>
                <w:b w:val="0"/>
                <w:sz w:val="16"/>
              </w:rPr>
              <w:t>At least [quarterly]</w:t>
            </w:r>
          </w:p>
        </w:tc>
      </w:tr>
      <w:tr>
        <w:tc>
          <w:tcPr>
            <w:tcW w:type="dxa" w:w="2880"/>
            <w:shd w:val="clear" w:fill="F4F7FB"/>
          </w:tcPr>
          <w:p>
            <w:r/>
            <w:r>
              <w:rPr>
                <w:rFonts w:ascii="Arial" w:hAnsi="Arial"/>
                <w:b w:val="0"/>
                <w:sz w:val="16"/>
              </w:rPr>
              <w:t>Quorum</w:t>
            </w:r>
          </w:p>
        </w:tc>
        <w:tc>
          <w:tcPr>
            <w:tcW w:type="dxa" w:w="8640"/>
            <w:shd w:val="clear" w:fill="F4F7FB"/>
          </w:tcPr>
          <w:p>
            <w:r/>
            <w:r>
              <w:rPr>
                <w:rFonts w:ascii="Arial" w:hAnsi="Arial"/>
                <w:b w:val="0"/>
                <w:sz w:val="16"/>
              </w:rPr>
              <w:t>[number] directors</w:t>
            </w:r>
          </w:p>
        </w:tc>
      </w:tr>
      <w:tr>
        <w:tc>
          <w:tcPr>
            <w:tcW w:type="dxa" w:w="2880"/>
          </w:tcPr>
          <w:p>
            <w:r/>
            <w:r>
              <w:rPr>
                <w:rFonts w:ascii="Arial" w:hAnsi="Arial"/>
                <w:b w:val="0"/>
                <w:sz w:val="16"/>
              </w:rPr>
              <w:t>Agenda</w:t>
            </w:r>
          </w:p>
        </w:tc>
        <w:tc>
          <w:tcPr>
            <w:tcW w:type="dxa" w:w="8640"/>
          </w:tcPr>
          <w:p>
            <w:r/>
            <w:r>
              <w:rPr>
                <w:rFonts w:ascii="Arial" w:hAnsi="Arial"/>
                <w:b w:val="0"/>
                <w:sz w:val="16"/>
              </w:rPr>
              <w:t>Set by the chair with the company secretary</w:t>
            </w:r>
          </w:p>
        </w:tc>
      </w:tr>
      <w:tr>
        <w:tc>
          <w:tcPr>
            <w:tcW w:type="dxa" w:w="2880"/>
            <w:shd w:val="clear" w:fill="F4F7FB"/>
          </w:tcPr>
          <w:p>
            <w:r/>
            <w:r>
              <w:rPr>
                <w:rFonts w:ascii="Arial" w:hAnsi="Arial"/>
                <w:b w:val="0"/>
                <w:sz w:val="16"/>
              </w:rPr>
              <w:t>Information</w:t>
            </w:r>
          </w:p>
        </w:tc>
        <w:tc>
          <w:tcPr>
            <w:tcW w:type="dxa" w:w="8640"/>
            <w:shd w:val="clear" w:fill="F4F7FB"/>
          </w:tcPr>
          <w:p>
            <w:r/>
            <w:r>
              <w:rPr>
                <w:rFonts w:ascii="Arial" w:hAnsi="Arial"/>
                <w:b w:val="0"/>
                <w:sz w:val="16"/>
              </w:rPr>
              <w:t>Timely, accurate board packs</w:t>
            </w:r>
          </w:p>
        </w:tc>
      </w:tr>
      <w:tr>
        <w:tc>
          <w:tcPr>
            <w:tcW w:type="dxa" w:w="2880"/>
          </w:tcPr>
          <w:p>
            <w:r/>
            <w:r>
              <w:rPr>
                <w:rFonts w:ascii="Arial" w:hAnsi="Arial"/>
                <w:b w:val="0"/>
                <w:sz w:val="16"/>
              </w:rPr>
              <w:t>Committees</w:t>
            </w:r>
          </w:p>
        </w:tc>
        <w:tc>
          <w:tcPr>
            <w:tcW w:type="dxa" w:w="8640"/>
          </w:tcPr>
          <w:p>
            <w:r/>
            <w:r>
              <w:rPr>
                <w:rFonts w:ascii="Arial" w:hAnsi="Arial"/>
                <w:b w:val="0"/>
                <w:sz w:val="16"/>
              </w:rPr>
              <w:t>Audit, Risk, Nomination, Remuneration</w:t>
            </w:r>
          </w:p>
        </w:tc>
      </w:tr>
    </w:tbl>
    <w:p>
      <w:pPr>
        <w:pStyle w:val="Heading1"/>
      </w:pPr>
      <w:r>
        <w:t>6. Evaluation &amp; Review</w:t>
      </w:r>
    </w:p>
    <w:p>
      <w:r>
        <w:rPr>
          <w:b w:val="0"/>
          <w:i w:val="0"/>
          <w:sz w:val="20"/>
        </w:rPr>
        <w:t>The board evaluates its effectiveness at least annually and reviews this charter periodically.</w:t>
      </w:r>
    </w:p>
    <w:p>
      <w:pPr>
        <w:pStyle w:val="Heading2"/>
      </w:pPr>
      <w:r>
        <w:t>Notes &amp; Disclaimer</w:t>
      </w:r>
    </w:p>
    <w:p>
      <w:r>
        <w:rPr>
          <w:b w:val="0"/>
          <w:i/>
          <w:sz w:val="18"/>
        </w:rPr>
        <w:t>This resource is a professional board-effectiveness template, not legal, governance or investment advice. It is anchored to the Nigerian Code of Corporate Governance (NCCG 2018), FRCN, SEC Nigeria, CBN, NAICOM, CAMA, the OECD Principles of Corporate Governance, the IFC Corporate Governance Methodology, King IV, ISO 37000, the IoD Global Governance Principles and WEF board-governance publications — referenced by name only, with no copyrighted content reproduced and no legal provisions, regulatory requirements, statistics or case studies fabricated. Calibrate roles, criteria, thresholds and practices to your board and confirm requirements against the current instruments.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