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DATA &amp; AI CENTRE™</w:t>
      </w:r>
    </w:p>
    <w:p>
      <w:pPr>
        <w:jc w:val="center"/>
      </w:pPr>
      <w:r>
        <w:rPr>
          <w:b/>
          <w:color w:val="10243F"/>
          <w:sz w:val="50"/>
        </w:rPr>
        <w:t>Data Quality Toolkit™</w:t>
      </w:r>
    </w:p>
    <w:p>
      <w:pPr>
        <w:jc w:val="center"/>
      </w:pPr>
      <w:r>
        <w:rPr>
          <w:color w:val="C97B2C"/>
          <w:sz w:val="26"/>
        </w:rPr>
        <w:t>Measure, improve and sustain data quality</w:t>
      </w:r>
    </w:p>
    <w:p/>
    <w:p/>
    <w:p>
      <w:pPr>
        <w:jc w:val="center"/>
      </w:pPr>
      <w:r>
        <w:rPr>
          <w:color w:val="555555"/>
          <w:sz w:val="20"/>
        </w:rPr>
        <w:t>Data Office / Stewards / Analytics  ·  Flagship Edition 2026</w:t>
      </w:r>
    </w:p>
    <w:p>
      <w:pPr>
        <w:jc w:val="center"/>
      </w:pPr>
      <w:r>
        <w:rPr>
          <w:i/>
          <w:color w:val="555555"/>
          <w:sz w:val="18"/>
        </w:rPr>
        <w:t>Publication-ready resource for the Outliers Resource Library</w:t>
      </w:r>
    </w:p>
    <w:p>
      <w:r>
        <w:br w:type="page"/>
      </w:r>
    </w:p>
    <w:p>
      <w:pPr>
        <w:pStyle w:val="Heading1"/>
      </w:pPr>
      <w:r>
        <w:t>1. Full Guide</w:t>
      </w:r>
    </w:p>
    <w:p>
      <w:r>
        <w:rPr>
          <w:b w:val="0"/>
          <w:i w:val="0"/>
          <w:sz w:val="20"/>
        </w:rPr>
        <w:t>Data quality determines whether data is fit for its intended use. This toolkit provides the dimensional quality model, rules, scoring and remediation workflow to measure and improve quality and keep it high.</w:t>
      </w:r>
    </w:p>
    <w:p>
      <w:pPr>
        <w:pStyle w:val="Heading2"/>
      </w:pPr>
      <w:r>
        <w:t>Operating lifecycle</w:t>
      </w:r>
    </w:p>
    <w:p>
      <w:pPr>
        <w:pStyle w:val="ListNumber"/>
      </w:pPr>
      <w:r>
        <w:rPr>
          <w:sz w:val="19"/>
        </w:rPr>
        <w:t>Define — quality dimensions, rules and targets</w:t>
      </w:r>
    </w:p>
    <w:p>
      <w:pPr>
        <w:pStyle w:val="ListNumber"/>
      </w:pPr>
      <w:r>
        <w:rPr>
          <w:sz w:val="19"/>
        </w:rPr>
        <w:t>Profile — measure critical data</w:t>
      </w:r>
    </w:p>
    <w:p>
      <w:pPr>
        <w:pStyle w:val="ListNumber"/>
      </w:pPr>
      <w:r>
        <w:rPr>
          <w:sz w:val="19"/>
        </w:rPr>
        <w:t>Score — compute quality scores and RAG</w:t>
      </w:r>
    </w:p>
    <w:p>
      <w:pPr>
        <w:pStyle w:val="ListNumber"/>
      </w:pPr>
      <w:r>
        <w:rPr>
          <w:sz w:val="19"/>
        </w:rPr>
        <w:t>Remediate — fix issues to closure</w:t>
      </w:r>
    </w:p>
    <w:p>
      <w:pPr>
        <w:pStyle w:val="ListNumber"/>
      </w:pPr>
      <w:r>
        <w:rPr>
          <w:sz w:val="19"/>
        </w:rPr>
        <w:t>Monitor — track quality over time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siloed</w:t>
            </w:r>
          </w:p>
        </w:tc>
        <w:tc>
          <w:tcPr>
            <w:tcW w:type="dxa" w:w="2232"/>
          </w:tcPr>
          <w:p>
            <w:r/>
            <w:r>
              <w:rPr>
                <w:rFonts w:ascii="Arial" w:hAnsi="Arial"/>
                <w:b w:val="0"/>
                <w:sz w:val="16"/>
              </w:rPr>
              <w:t>Standardised &amp; governed</w:t>
            </w:r>
          </w:p>
        </w:tc>
        <w:tc>
          <w:tcPr>
            <w:tcW w:type="dxa" w:w="2232"/>
          </w:tcPr>
          <w:p>
            <w:r/>
            <w:r>
              <w:rPr>
                <w:rFonts w:ascii="Arial" w:hAnsi="Arial"/>
                <w:b w:val="0"/>
                <w:sz w:val="16"/>
              </w:rPr>
              <w:t>Quantified &amp; integrated</w:t>
            </w:r>
          </w:p>
        </w:tc>
        <w:tc>
          <w:tcPr>
            <w:tcW w:type="dxa" w:w="2232"/>
          </w:tcPr>
          <w:p>
            <w:r/>
            <w:r>
              <w:rPr>
                <w:rFonts w:ascii="Arial" w:hAnsi="Arial"/>
                <w:b w:val="0"/>
                <w:sz w:val="16"/>
              </w:rPr>
              <w:t>Predictive &amp; embedded</w:t>
            </w:r>
          </w:p>
        </w:tc>
      </w:tr>
    </w:tbl>
    <w:p>
      <w:pPr>
        <w:pStyle w:val="Heading2"/>
      </w:pPr>
      <w:r>
        <w:t>Key components</w:t>
      </w:r>
    </w:p>
    <w:p>
      <w:pPr>
        <w:pStyle w:val="ListBullet"/>
      </w:pPr>
      <w:r>
        <w:rPr>
          <w:sz w:val="19"/>
        </w:rPr>
        <w:t>Quality dimensions (accuracy, completeness, consistency, timeliness, validity, uniqueness)</w:t>
      </w:r>
    </w:p>
    <w:p>
      <w:pPr>
        <w:pStyle w:val="ListBullet"/>
      </w:pPr>
      <w:r>
        <w:rPr>
          <w:sz w:val="19"/>
        </w:rPr>
        <w:t>Data profiling</w:t>
      </w:r>
    </w:p>
    <w:p>
      <w:pPr>
        <w:pStyle w:val="ListBullet"/>
      </w:pPr>
      <w:r>
        <w:rPr>
          <w:sz w:val="19"/>
        </w:rPr>
        <w:t>Quality rules and controls</w:t>
      </w:r>
    </w:p>
    <w:p>
      <w:pPr>
        <w:pStyle w:val="ListBullet"/>
      </w:pPr>
      <w:r>
        <w:rPr>
          <w:sz w:val="19"/>
        </w:rPr>
        <w:t>Quality scoring</w:t>
      </w:r>
    </w:p>
    <w:p>
      <w:pPr>
        <w:pStyle w:val="ListBullet"/>
      </w:pPr>
      <w:r>
        <w:rPr>
          <w:sz w:val="19"/>
        </w:rPr>
        <w:t>Remediation workflow</w:t>
      </w:r>
    </w:p>
    <w:p>
      <w:pPr>
        <w:pStyle w:val="ListBullet"/>
      </w:pPr>
      <w:r>
        <w:rPr>
          <w:sz w:val="19"/>
        </w:rPr>
        <w:t>Quality monitoring</w:t>
      </w:r>
    </w:p>
    <w:p>
      <w:pPr>
        <w:pStyle w:val="Heading1"/>
      </w:pPr>
      <w:r>
        <w:t>2. Templates &amp; Registers</w:t>
      </w:r>
    </w:p>
    <w:p>
      <w:pPr>
        <w:pStyle w:val="Heading3"/>
      </w:pPr>
      <w:r>
        <w:t>Data quality scorecard</w:t>
      </w:r>
    </w:p>
    <w:p>
      <w:r>
        <w:rPr>
          <w:b w:val="0"/>
          <w:i w:val="0"/>
          <w:sz w:val="19"/>
        </w:rPr>
        <w:t>Score critical data elements across six dimensions vs target (working XLSX supplied separately).</w:t>
      </w:r>
    </w:p>
    <w:tbl>
      <w:tblPr>
        <w:tblStyle w:val="TableGrid"/>
        <w:tblW w:type="auto" w:w="0"/>
        <w:jc w:val="center"/>
        <w:tblLook w:firstColumn="1" w:firstRow="1" w:lastColumn="0" w:lastRow="0" w:noHBand="0" w:noVBand="1" w:val="04A0"/>
      </w:tblPr>
      <w:tblGrid>
        <w:gridCol w:w="3264"/>
        <w:gridCol w:w="3264"/>
        <w:gridCol w:w="3264"/>
      </w:tblGrid>
      <w:tr>
        <w:tc>
          <w:tcPr>
            <w:tcW w:type="dxa" w:w="3264"/>
            <w:shd w:val="clear" w:fill="1B4D89"/>
          </w:tcPr>
          <w:p>
            <w:r/>
            <w:r>
              <w:rPr>
                <w:rFonts w:ascii="Arial" w:hAnsi="Arial"/>
                <w:b/>
                <w:color w:val="FFFFFF"/>
                <w:sz w:val="16"/>
              </w:rPr>
              <w:t>Element</w:t>
            </w:r>
          </w:p>
        </w:tc>
        <w:tc>
          <w:tcPr>
            <w:tcW w:type="dxa" w:w="3264"/>
            <w:shd w:val="clear" w:fill="1B4D89"/>
          </w:tcPr>
          <w:p>
            <w:r/>
            <w:r>
              <w:rPr>
                <w:rFonts w:ascii="Arial" w:hAnsi="Arial"/>
                <w:b/>
                <w:color w:val="FFFFFF"/>
                <w:sz w:val="16"/>
              </w:rPr>
              <w:t>Overall %</w:t>
            </w:r>
          </w:p>
        </w:tc>
        <w:tc>
          <w:tcPr>
            <w:tcW w:type="dxa" w:w="3264"/>
            <w:shd w:val="clear" w:fill="1B4D89"/>
          </w:tcPr>
          <w:p>
            <w:r/>
            <w:r>
              <w:rPr>
                <w:rFonts w:ascii="Arial" w:hAnsi="Arial"/>
                <w:b/>
                <w:color w:val="FFFFFF"/>
                <w:sz w:val="16"/>
              </w:rPr>
              <w:t>RAG</w:t>
            </w:r>
          </w:p>
        </w:tc>
      </w:tr>
      <w:tr>
        <w:tc>
          <w:tcPr>
            <w:tcW w:type="dxa" w:w="3264"/>
          </w:tcPr>
          <w:p>
            <w:r/>
            <w:r>
              <w:rPr>
                <w:rFonts w:ascii="Arial" w:hAnsi="Arial"/>
                <w:b w:val="0"/>
                <w:sz w:val="16"/>
              </w:rPr>
              <w:t>Customer master</w:t>
            </w:r>
          </w:p>
        </w:tc>
        <w:tc>
          <w:tcPr>
            <w:tcW w:type="dxa" w:w="3264"/>
          </w:tcPr>
          <w:p>
            <w:r/>
            <w:r>
              <w:rPr>
                <w:rFonts w:ascii="Arial" w:hAnsi="Arial"/>
                <w:b w:val="0"/>
                <w:sz w:val="16"/>
              </w:rPr>
              <w:t>96</w:t>
            </w:r>
          </w:p>
        </w:tc>
        <w:tc>
          <w:tcPr>
            <w:tcW w:type="dxa" w:w="3264"/>
          </w:tcPr>
          <w:p>
            <w:r/>
            <w:r>
              <w:rPr>
                <w:rFonts w:ascii="Arial" w:hAnsi="Arial"/>
                <w:b w:val="0"/>
                <w:sz w:val="16"/>
              </w:rPr>
              <w:t>Green</w:t>
            </w:r>
          </w:p>
        </w:tc>
      </w:tr>
      <w:tr>
        <w:tc>
          <w:tcPr>
            <w:tcW w:type="dxa" w:w="3264"/>
            <w:shd w:val="clear" w:fill="F4F7FB"/>
          </w:tcPr>
          <w:p>
            <w:r/>
            <w:r>
              <w:rPr>
                <w:rFonts w:ascii="Arial" w:hAnsi="Arial"/>
                <w:b w:val="0"/>
                <w:sz w:val="16"/>
              </w:rPr>
              <w:t>Product master</w:t>
            </w:r>
          </w:p>
        </w:tc>
        <w:tc>
          <w:tcPr>
            <w:tcW w:type="dxa" w:w="3264"/>
            <w:shd w:val="clear" w:fill="F4F7FB"/>
          </w:tcPr>
          <w:p>
            <w:r/>
            <w:r>
              <w:rPr>
                <w:rFonts w:ascii="Arial" w:hAnsi="Arial"/>
                <w:b w:val="0"/>
                <w:sz w:val="16"/>
              </w:rPr>
              <w:t>94</w:t>
            </w:r>
          </w:p>
        </w:tc>
        <w:tc>
          <w:tcPr>
            <w:tcW w:type="dxa" w:w="3264"/>
            <w:shd w:val="clear" w:fill="F4F7FB"/>
          </w:tcPr>
          <w:p>
            <w:r/>
            <w:r>
              <w:rPr>
                <w:rFonts w:ascii="Arial" w:hAnsi="Arial"/>
                <w:b w:val="0"/>
                <w:sz w:val="16"/>
              </w:rPr>
              <w:t>Amber</w:t>
            </w:r>
          </w:p>
        </w:tc>
      </w:tr>
      <w:tr>
        <w:tc>
          <w:tcPr>
            <w:tcW w:type="dxa" w:w="3264"/>
          </w:tcPr>
          <w:p>
            <w:r/>
            <w:r>
              <w:rPr>
                <w:rFonts w:ascii="Arial" w:hAnsi="Arial"/>
                <w:b w:val="0"/>
                <w:sz w:val="16"/>
              </w:rPr>
              <w:t>Vendor master</w:t>
            </w:r>
          </w:p>
        </w:tc>
        <w:tc>
          <w:tcPr>
            <w:tcW w:type="dxa" w:w="3264"/>
          </w:tcPr>
          <w:p>
            <w:r/>
            <w:r>
              <w:rPr>
                <w:rFonts w:ascii="Arial" w:hAnsi="Arial"/>
                <w:b w:val="0"/>
                <w:sz w:val="16"/>
              </w:rPr>
              <w:t>86</w:t>
            </w:r>
          </w:p>
        </w:tc>
        <w:tc>
          <w:tcPr>
            <w:tcW w:type="dxa" w:w="3264"/>
          </w:tcPr>
          <w:p>
            <w:r/>
            <w:r>
              <w:rPr>
                <w:rFonts w:ascii="Arial" w:hAnsi="Arial"/>
                <w:b w:val="0"/>
                <w:sz w:val="16"/>
              </w:rPr>
              <w:t>Amber</w:t>
            </w:r>
          </w:p>
        </w:tc>
      </w:tr>
    </w:tbl>
    <w:p>
      <w:pPr>
        <w:pStyle w:val="Heading3"/>
      </w:pPr>
      <w:r>
        <w:t>Data quality rules library</w:t>
      </w:r>
    </w:p>
    <w:p>
      <w:r>
        <w:rPr>
          <w:b w:val="0"/>
          <w:i w:val="0"/>
          <w:sz w:val="19"/>
        </w:rPr>
        <w:t>Define the rules that operationalise each dimension (structure).</w:t>
      </w:r>
    </w:p>
    <w:tbl>
      <w:tblPr>
        <w:tblStyle w:val="TableGrid"/>
        <w:tblW w:type="auto" w:w="0"/>
        <w:jc w:val="center"/>
        <w:tblLook w:firstColumn="1" w:firstRow="1" w:lastColumn="0" w:lastRow="0" w:noHBand="0" w:noVBand="1" w:val="04A0"/>
      </w:tblPr>
      <w:tblGrid>
        <w:gridCol w:w="4896"/>
        <w:gridCol w:w="4896"/>
      </w:tblGrid>
      <w:tr>
        <w:tc>
          <w:tcPr>
            <w:tcW w:type="dxa" w:w="4896"/>
            <w:shd w:val="clear" w:fill="1B4D89"/>
          </w:tcPr>
          <w:p>
            <w:r/>
            <w:r>
              <w:rPr>
                <w:rFonts w:ascii="Arial" w:hAnsi="Arial"/>
                <w:b/>
                <w:color w:val="FFFFFF"/>
                <w:sz w:val="16"/>
              </w:rPr>
              <w:t>Field</w:t>
            </w:r>
          </w:p>
        </w:tc>
        <w:tc>
          <w:tcPr>
            <w:tcW w:type="dxa" w:w="4896"/>
            <w:shd w:val="clear" w:fill="1B4D89"/>
          </w:tcPr>
          <w:p>
            <w:r/>
            <w:r>
              <w:rPr>
                <w:rFonts w:ascii="Arial" w:hAnsi="Arial"/>
                <w:b/>
                <w:color w:val="FFFFFF"/>
                <w:sz w:val="16"/>
              </w:rPr>
              <w:t>Example</w:t>
            </w:r>
          </w:p>
        </w:tc>
      </w:tr>
      <w:tr>
        <w:tc>
          <w:tcPr>
            <w:tcW w:type="dxa" w:w="4896"/>
          </w:tcPr>
          <w:p>
            <w:r/>
            <w:r>
              <w:rPr>
                <w:rFonts w:ascii="Arial" w:hAnsi="Arial"/>
                <w:b w:val="0"/>
                <w:sz w:val="16"/>
              </w:rPr>
              <w:t>Rule ID</w:t>
            </w:r>
          </w:p>
        </w:tc>
        <w:tc>
          <w:tcPr>
            <w:tcW w:type="dxa" w:w="4896"/>
          </w:tcPr>
          <w:p>
            <w:r/>
            <w:r>
              <w:rPr>
                <w:rFonts w:ascii="Arial" w:hAnsi="Arial"/>
                <w:b w:val="0"/>
                <w:sz w:val="16"/>
              </w:rPr>
              <w:t>DQ-001</w:t>
            </w:r>
          </w:p>
        </w:tc>
      </w:tr>
      <w:tr>
        <w:tc>
          <w:tcPr>
            <w:tcW w:type="dxa" w:w="4896"/>
            <w:shd w:val="clear" w:fill="F4F7FB"/>
          </w:tcPr>
          <w:p>
            <w:r/>
            <w:r>
              <w:rPr>
                <w:rFonts w:ascii="Arial" w:hAnsi="Arial"/>
                <w:b w:val="0"/>
                <w:sz w:val="16"/>
              </w:rPr>
              <w:t>Dimension</w:t>
            </w:r>
          </w:p>
        </w:tc>
        <w:tc>
          <w:tcPr>
            <w:tcW w:type="dxa" w:w="4896"/>
            <w:shd w:val="clear" w:fill="F4F7FB"/>
          </w:tcPr>
          <w:p>
            <w:r/>
            <w:r>
              <w:rPr>
                <w:rFonts w:ascii="Arial" w:hAnsi="Arial"/>
                <w:b w:val="0"/>
                <w:sz w:val="16"/>
              </w:rPr>
              <w:t>Completeness</w:t>
            </w:r>
          </w:p>
        </w:tc>
      </w:tr>
      <w:tr>
        <w:tc>
          <w:tcPr>
            <w:tcW w:type="dxa" w:w="4896"/>
          </w:tcPr>
          <w:p>
            <w:r/>
            <w:r>
              <w:rPr>
                <w:rFonts w:ascii="Arial" w:hAnsi="Arial"/>
                <w:b w:val="0"/>
                <w:sz w:val="16"/>
              </w:rPr>
              <w:t>Rule</w:t>
            </w:r>
          </w:p>
        </w:tc>
        <w:tc>
          <w:tcPr>
            <w:tcW w:type="dxa" w:w="4896"/>
          </w:tcPr>
          <w:p>
            <w:r/>
            <w:r>
              <w:rPr>
                <w:rFonts w:ascii="Arial" w:hAnsi="Arial"/>
                <w:b w:val="0"/>
                <w:sz w:val="16"/>
              </w:rPr>
              <w:t>Customer email is present</w:t>
            </w:r>
          </w:p>
        </w:tc>
      </w:tr>
      <w:tr>
        <w:tc>
          <w:tcPr>
            <w:tcW w:type="dxa" w:w="4896"/>
            <w:shd w:val="clear" w:fill="F4F7FB"/>
          </w:tcPr>
          <w:p>
            <w:r/>
            <w:r>
              <w:rPr>
                <w:rFonts w:ascii="Arial" w:hAnsi="Arial"/>
                <w:b w:val="0"/>
                <w:sz w:val="16"/>
              </w:rPr>
              <w:t>Threshold</w:t>
            </w:r>
          </w:p>
        </w:tc>
        <w:tc>
          <w:tcPr>
            <w:tcW w:type="dxa" w:w="4896"/>
            <w:shd w:val="clear" w:fill="F4F7FB"/>
          </w:tcPr>
          <w:p>
            <w:r/>
            <w:r>
              <w:rPr>
                <w:rFonts w:ascii="Arial" w:hAnsi="Arial"/>
                <w:b w:val="0"/>
                <w:sz w:val="16"/>
              </w:rPr>
              <w:t>≥98%</w:t>
            </w:r>
          </w:p>
        </w:tc>
      </w:tr>
      <w:tr>
        <w:tc>
          <w:tcPr>
            <w:tcW w:type="dxa" w:w="4896"/>
          </w:tcPr>
          <w:p>
            <w:r/>
            <w:r>
              <w:rPr>
                <w:rFonts w:ascii="Arial" w:hAnsi="Arial"/>
                <w:b w:val="0"/>
                <w:sz w:val="16"/>
              </w:rPr>
              <w:t>Action on breach</w:t>
            </w:r>
          </w:p>
        </w:tc>
        <w:tc>
          <w:tcPr>
            <w:tcW w:type="dxa" w:w="4896"/>
          </w:tcPr>
          <w:p>
            <w:r/>
            <w:r>
              <w:rPr>
                <w:rFonts w:ascii="Arial" w:hAnsi="Arial"/>
                <w:b w:val="0"/>
                <w:sz w:val="16"/>
              </w:rPr>
              <w:t>Steward remediation</w:t>
            </w:r>
          </w:p>
        </w:tc>
      </w:tr>
    </w:tbl>
    <w:p>
      <w:pPr>
        <w:pStyle w:val="Heading3"/>
      </w:pPr>
      <w:r>
        <w:t>Remediation plan</w:t>
      </w:r>
    </w:p>
    <w:p>
      <w:r>
        <w:rPr>
          <w:b w:val="0"/>
          <w:i w:val="0"/>
          <w:sz w:val="19"/>
        </w:rPr>
        <w:t>Track quality issues to closure.</w:t>
      </w:r>
    </w:p>
    <w:tbl>
      <w:tblPr>
        <w:tblStyle w:val="TableGrid"/>
        <w:tblW w:type="auto" w:w="0"/>
        <w:jc w:val="center"/>
        <w:tblLook w:firstColumn="1" w:firstRow="1" w:lastColumn="0" w:lastRow="0" w:noHBand="0" w:noVBand="1" w:val="04A0"/>
      </w:tblPr>
      <w:tblGrid>
        <w:gridCol w:w="4896"/>
        <w:gridCol w:w="4896"/>
      </w:tblGrid>
      <w:tr>
        <w:tc>
          <w:tcPr>
            <w:tcW w:type="dxa" w:w="4896"/>
            <w:shd w:val="clear" w:fill="1B4D89"/>
          </w:tcPr>
          <w:p>
            <w:r/>
            <w:r>
              <w:rPr>
                <w:rFonts w:ascii="Arial" w:hAnsi="Arial"/>
                <w:b/>
                <w:color w:val="FFFFFF"/>
                <w:sz w:val="16"/>
              </w:rPr>
              <w:t>Field</w:t>
            </w:r>
          </w:p>
        </w:tc>
        <w:tc>
          <w:tcPr>
            <w:tcW w:type="dxa" w:w="4896"/>
            <w:shd w:val="clear" w:fill="1B4D89"/>
          </w:tcPr>
          <w:p>
            <w:r/>
            <w:r>
              <w:rPr>
                <w:rFonts w:ascii="Arial" w:hAnsi="Arial"/>
                <w:b/>
                <w:color w:val="FFFFFF"/>
                <w:sz w:val="16"/>
              </w:rPr>
              <w:t>Example</w:t>
            </w:r>
          </w:p>
        </w:tc>
      </w:tr>
      <w:tr>
        <w:tc>
          <w:tcPr>
            <w:tcW w:type="dxa" w:w="4896"/>
          </w:tcPr>
          <w:p>
            <w:r/>
            <w:r>
              <w:rPr>
                <w:rFonts w:ascii="Arial" w:hAnsi="Arial"/>
                <w:b w:val="0"/>
                <w:sz w:val="16"/>
              </w:rPr>
              <w:t>Issue</w:t>
            </w:r>
          </w:p>
        </w:tc>
        <w:tc>
          <w:tcPr>
            <w:tcW w:type="dxa" w:w="4896"/>
          </w:tcPr>
          <w:p>
            <w:r/>
            <w:r>
              <w:rPr>
                <w:rFonts w:ascii="Arial" w:hAnsi="Arial"/>
                <w:b w:val="0"/>
                <w:sz w:val="16"/>
              </w:rPr>
              <w:t>Missing vendor tax IDs</w:t>
            </w:r>
          </w:p>
        </w:tc>
      </w:tr>
      <w:tr>
        <w:tc>
          <w:tcPr>
            <w:tcW w:type="dxa" w:w="4896"/>
            <w:shd w:val="clear" w:fill="F4F7FB"/>
          </w:tcPr>
          <w:p>
            <w:r/>
            <w:r>
              <w:rPr>
                <w:rFonts w:ascii="Arial" w:hAnsi="Arial"/>
                <w:b w:val="0"/>
                <w:sz w:val="16"/>
              </w:rPr>
              <w:t>Root cause</w:t>
            </w:r>
          </w:p>
        </w:tc>
        <w:tc>
          <w:tcPr>
            <w:tcW w:type="dxa" w:w="4896"/>
            <w:shd w:val="clear" w:fill="F4F7FB"/>
          </w:tcPr>
          <w:p>
            <w:r/>
            <w:r>
              <w:rPr>
                <w:rFonts w:ascii="Arial" w:hAnsi="Arial"/>
                <w:b w:val="0"/>
                <w:sz w:val="16"/>
              </w:rPr>
              <w:t>No validation at entry</w:t>
            </w:r>
          </w:p>
        </w:tc>
      </w:tr>
      <w:tr>
        <w:tc>
          <w:tcPr>
            <w:tcW w:type="dxa" w:w="4896"/>
          </w:tcPr>
          <w:p>
            <w:r/>
            <w:r>
              <w:rPr>
                <w:rFonts w:ascii="Arial" w:hAnsi="Arial"/>
                <w:b w:val="0"/>
                <w:sz w:val="16"/>
              </w:rPr>
              <w:t>Action</w:t>
            </w:r>
          </w:p>
        </w:tc>
        <w:tc>
          <w:tcPr>
            <w:tcW w:type="dxa" w:w="4896"/>
          </w:tcPr>
          <w:p>
            <w:r/>
            <w:r>
              <w:rPr>
                <w:rFonts w:ascii="Arial" w:hAnsi="Arial"/>
                <w:b w:val="0"/>
                <w:sz w:val="16"/>
              </w:rPr>
              <w:t>Add validation + backfill</w:t>
            </w:r>
          </w:p>
        </w:tc>
      </w:tr>
      <w:tr>
        <w:tc>
          <w:tcPr>
            <w:tcW w:type="dxa" w:w="4896"/>
            <w:shd w:val="clear" w:fill="F4F7FB"/>
          </w:tcPr>
          <w:p>
            <w:r/>
            <w:r>
              <w:rPr>
                <w:rFonts w:ascii="Arial" w:hAnsi="Arial"/>
                <w:b w:val="0"/>
                <w:sz w:val="16"/>
              </w:rPr>
              <w:t>Owner</w:t>
            </w:r>
          </w:p>
        </w:tc>
        <w:tc>
          <w:tcPr>
            <w:tcW w:type="dxa" w:w="4896"/>
            <w:shd w:val="clear" w:fill="F4F7FB"/>
          </w:tcPr>
          <w:p>
            <w:r/>
            <w:r>
              <w:rPr>
                <w:rFonts w:ascii="Arial" w:hAnsi="Arial"/>
                <w:b w:val="0"/>
                <w:sz w:val="16"/>
              </w:rPr>
              <w:t>Steward (Proc)</w:t>
            </w:r>
          </w:p>
        </w:tc>
      </w:tr>
      <w:tr>
        <w:tc>
          <w:tcPr>
            <w:tcW w:type="dxa" w:w="4896"/>
          </w:tcPr>
          <w:p>
            <w:r/>
            <w:r>
              <w:rPr>
                <w:rFonts w:ascii="Arial" w:hAnsi="Arial"/>
                <w:b w:val="0"/>
                <w:sz w:val="16"/>
              </w:rPr>
              <w:t>Target</w:t>
            </w:r>
          </w:p>
        </w:tc>
        <w:tc>
          <w:tcPr>
            <w:tcW w:type="dxa" w:w="4896"/>
          </w:tcPr>
          <w:p>
            <w:r/>
            <w:r>
              <w:rPr>
                <w:rFonts w:ascii="Arial" w:hAnsi="Arial"/>
                <w:b w:val="0"/>
                <w:sz w:val="16"/>
              </w:rPr>
              <w:t>2026-04-30</w:t>
            </w:r>
          </w:p>
        </w:tc>
      </w:tr>
    </w:tbl>
    <w:p>
      <w:pPr>
        <w:pStyle w:val="Heading1"/>
      </w:pPr>
      <w:r>
        <w:t>3. Checklists</w:t>
      </w:r>
    </w:p>
    <w:p>
      <w:pPr>
        <w:ind w:left="288"/>
      </w:pPr>
      <w:r>
        <w:rPr>
          <w:sz w:val="19"/>
        </w:rPr>
        <w:t>☐  Quality dimensions and rules defined</w:t>
      </w:r>
    </w:p>
    <w:p>
      <w:pPr>
        <w:ind w:left="288"/>
      </w:pPr>
      <w:r>
        <w:rPr>
          <w:sz w:val="19"/>
        </w:rPr>
        <w:t>☐  Critical data profiled regularly</w:t>
      </w:r>
    </w:p>
    <w:p>
      <w:pPr>
        <w:ind w:left="288"/>
      </w:pPr>
      <w:r>
        <w:rPr>
          <w:sz w:val="19"/>
        </w:rPr>
        <w:t>☐  Quality scored and reported (scorecard)</w:t>
      </w:r>
    </w:p>
    <w:p>
      <w:pPr>
        <w:ind w:left="288"/>
      </w:pPr>
      <w:r>
        <w:rPr>
          <w:sz w:val="19"/>
        </w:rPr>
        <w:t>☐  Targets set per data element</w:t>
      </w:r>
    </w:p>
    <w:p>
      <w:pPr>
        <w:ind w:left="288"/>
      </w:pPr>
      <w:r>
        <w:rPr>
          <w:sz w:val="19"/>
        </w:rPr>
        <w:t>☐  Remediation tracked to closure</w:t>
      </w:r>
    </w:p>
    <w:p>
      <w:pPr>
        <w:ind w:left="288"/>
      </w:pPr>
      <w:r>
        <w:rPr>
          <w:sz w:val="19"/>
        </w:rPr>
        <w:t>☐  Quality monitored over time</w:t>
      </w:r>
    </w:p>
    <w:p>
      <w:pPr>
        <w:ind w:left="288"/>
      </w:pPr>
      <w:r>
        <w:rPr>
          <w:sz w:val="19"/>
        </w:rPr>
        <w:t>☐  Quality feeds governance and AI readiness</w:t>
      </w:r>
    </w:p>
    <w:p>
      <w:pPr>
        <w:pStyle w:val="Heading2"/>
      </w:pPr>
      <w:r>
        <w:t>Governance Structure</w:t>
      </w:r>
    </w:p>
    <w:p>
      <w:r>
        <w:rPr>
          <w:b w:val="0"/>
          <w:i w:val="0"/>
          <w:sz w:val="20"/>
        </w:rPr>
        <w:t>Data &amp; AI is governed through clear accountability under board oversight:</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6"/>
              </w:rPr>
              <w:t>Layer</w:t>
            </w:r>
          </w:p>
        </w:tc>
        <w:tc>
          <w:tcPr>
            <w:tcW w:type="dxa" w:w="8064"/>
            <w:shd w:val="clear" w:fill="1B4D89"/>
          </w:tcPr>
          <w:p>
            <w:r/>
            <w:r>
              <w:rPr>
                <w:rFonts w:ascii="Arial" w:hAnsi="Arial"/>
                <w:b/>
                <w:color w:val="FFFFFF"/>
                <w:sz w:val="16"/>
              </w:rPr>
              <w:t>Role</w:t>
            </w:r>
          </w:p>
        </w:tc>
      </w:tr>
      <w:tr>
        <w:tc>
          <w:tcPr>
            <w:tcW w:type="dxa" w:w="3456"/>
          </w:tcPr>
          <w:p>
            <w:r/>
            <w:r>
              <w:rPr>
                <w:rFonts w:ascii="Arial" w:hAnsi="Arial"/>
                <w:b w:val="0"/>
                <w:sz w:val="16"/>
              </w:rPr>
              <w:t>Board / Audit Committee</w:t>
            </w:r>
          </w:p>
        </w:tc>
        <w:tc>
          <w:tcPr>
            <w:tcW w:type="dxa" w:w="8064"/>
          </w:tcPr>
          <w:p>
            <w:r/>
            <w:r>
              <w:rPr>
                <w:rFonts w:ascii="Arial" w:hAnsi="Arial"/>
                <w:b w:val="0"/>
                <w:sz w:val="16"/>
              </w:rPr>
              <w:t>Approves policy and appetite; oversees data &amp; AI risk and value</w:t>
            </w:r>
          </w:p>
        </w:tc>
      </w:tr>
      <w:tr>
        <w:tc>
          <w:tcPr>
            <w:tcW w:type="dxa" w:w="3456"/>
            <w:shd w:val="clear" w:fill="F4F7FB"/>
          </w:tcPr>
          <w:p>
            <w:r/>
            <w:r>
              <w:rPr>
                <w:rFonts w:ascii="Arial" w:hAnsi="Arial"/>
                <w:b w:val="0"/>
                <w:sz w:val="16"/>
              </w:rPr>
              <w:t>Data &amp; AI Governance Committee</w:t>
            </w:r>
          </w:p>
        </w:tc>
        <w:tc>
          <w:tcPr>
            <w:tcW w:type="dxa" w:w="8064"/>
            <w:shd w:val="clear" w:fill="F4F7FB"/>
          </w:tcPr>
          <w:p>
            <w:r/>
            <w:r>
              <w:rPr>
                <w:rFonts w:ascii="Arial" w:hAnsi="Arial"/>
                <w:b w:val="0"/>
                <w:sz w:val="16"/>
              </w:rPr>
              <w:t>Sets standards, tiers AI, approves high-risk use, reviews oversight</w:t>
            </w:r>
          </w:p>
        </w:tc>
      </w:tr>
      <w:tr>
        <w:tc>
          <w:tcPr>
            <w:tcW w:type="dxa" w:w="3456"/>
          </w:tcPr>
          <w:p>
            <w:r/>
            <w:r>
              <w:rPr>
                <w:rFonts w:ascii="Arial" w:hAnsi="Arial"/>
                <w:b w:val="0"/>
                <w:sz w:val="16"/>
              </w:rPr>
              <w:t>Data/AI owners (1st line)</w:t>
            </w:r>
          </w:p>
        </w:tc>
        <w:tc>
          <w:tcPr>
            <w:tcW w:type="dxa" w:w="8064"/>
          </w:tcPr>
          <w:p>
            <w:r/>
            <w:r>
              <w:rPr>
                <w:rFonts w:ascii="Arial" w:hAnsi="Arial"/>
                <w:b w:val="0"/>
                <w:sz w:val="16"/>
              </w:rPr>
              <w:t>Own and manage data and AI in their area</w:t>
            </w:r>
          </w:p>
        </w:tc>
      </w:tr>
      <w:tr>
        <w:tc>
          <w:tcPr>
            <w:tcW w:type="dxa" w:w="3456"/>
            <w:shd w:val="clear" w:fill="F4F7FB"/>
          </w:tcPr>
          <w:p>
            <w:r/>
            <w:r>
              <w:rPr>
                <w:rFonts w:ascii="Arial" w:hAnsi="Arial"/>
                <w:b w:val="0"/>
                <w:sz w:val="16"/>
              </w:rPr>
              <w:t>Data office / AI risk (2nd line)</w:t>
            </w:r>
          </w:p>
        </w:tc>
        <w:tc>
          <w:tcPr>
            <w:tcW w:type="dxa" w:w="8064"/>
            <w:shd w:val="clear" w:fill="F4F7FB"/>
          </w:tcPr>
          <w:p>
            <w:r/>
            <w:r>
              <w:rPr>
                <w:rFonts w:ascii="Arial" w:hAnsi="Arial"/>
                <w:b w:val="0"/>
                <w:sz w:val="16"/>
              </w:rPr>
              <w:t>Set framework, monitor, challenge, aggregate reporting</w:t>
            </w:r>
          </w:p>
        </w:tc>
      </w:tr>
      <w:tr>
        <w:tc>
          <w:tcPr>
            <w:tcW w:type="dxa" w:w="3456"/>
          </w:tcPr>
          <w:p>
            <w:r/>
            <w:r>
              <w:rPr>
                <w:rFonts w:ascii="Arial" w:hAnsi="Arial"/>
                <w:b w:val="0"/>
                <w:sz w:val="16"/>
              </w:rPr>
              <w:t>Internal Audit (3rd line)</w:t>
            </w:r>
          </w:p>
        </w:tc>
        <w:tc>
          <w:tcPr>
            <w:tcW w:type="dxa" w:w="8064"/>
          </w:tcPr>
          <w:p>
            <w:r/>
            <w:r>
              <w:rPr>
                <w:rFonts w:ascii="Arial" w:hAnsi="Arial"/>
                <w:b w:val="0"/>
                <w:sz w:val="16"/>
              </w:rPr>
              <w:t>Independent assurance over data &amp; AI controls</w:t>
            </w:r>
          </w:p>
        </w:tc>
      </w:tr>
    </w:tbl>
    <w:p>
      <w:pPr>
        <w:pStyle w:val="Heading2"/>
      </w:pPr>
      <w:r>
        <w:t>Reporting Template</w:t>
      </w:r>
    </w:p>
    <w:p>
      <w:r>
        <w:rPr>
          <w:b w:val="0"/>
          <w:i w:val="0"/>
          <w:sz w:val="19"/>
        </w:rPr>
        <w:t>Standard report structure: executive summary · profile vs target (RAG) · key metrics · issues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Overall DQ score</w:t>
            </w:r>
          </w:p>
        </w:tc>
        <w:tc>
          <w:tcPr>
            <w:tcW w:type="dxa" w:w="1440"/>
          </w:tcPr>
          <w:p>
            <w:r/>
            <w:r>
              <w:rPr>
                <w:rFonts w:ascii="Arial" w:hAnsi="Arial"/>
                <w:b w:val="0"/>
                <w:sz w:val="16"/>
              </w:rPr>
              <w:t>92%</w:t>
            </w:r>
          </w:p>
        </w:tc>
        <w:tc>
          <w:tcPr>
            <w:tcW w:type="dxa" w:w="1728"/>
          </w:tcPr>
          <w:p>
            <w:r/>
            <w:r>
              <w:rPr>
                <w:rFonts w:ascii="Arial" w:hAnsi="Arial"/>
                <w:b w:val="0"/>
                <w:sz w:val="16"/>
              </w:rPr>
              <w:t>≥95%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Remediate vendor &amp; product data</w:t>
            </w:r>
          </w:p>
        </w:tc>
      </w:tr>
      <w:tr>
        <w:tc>
          <w:tcPr>
            <w:tcW w:type="dxa" w:w="2880"/>
            <w:shd w:val="clear" w:fill="F4F7FB"/>
          </w:tcPr>
          <w:p>
            <w:r/>
            <w:r>
              <w:rPr>
                <w:rFonts w:ascii="Arial" w:hAnsi="Arial"/>
                <w:b w:val="0"/>
                <w:sz w:val="16"/>
              </w:rPr>
              <w:t>Critical-data accuracy</w:t>
            </w:r>
          </w:p>
        </w:tc>
        <w:tc>
          <w:tcPr>
            <w:tcW w:type="dxa" w:w="1440"/>
            <w:shd w:val="clear" w:fill="F4F7FB"/>
          </w:tcPr>
          <w:p>
            <w:r/>
            <w:r>
              <w:rPr>
                <w:rFonts w:ascii="Arial" w:hAnsi="Arial"/>
                <w:b w:val="0"/>
                <w:sz w:val="16"/>
              </w:rPr>
              <w:t>97%</w:t>
            </w:r>
          </w:p>
        </w:tc>
        <w:tc>
          <w:tcPr>
            <w:tcW w:type="dxa" w:w="1728"/>
            <w:shd w:val="clear" w:fill="F4F7FB"/>
          </w:tcPr>
          <w:p>
            <w:r/>
            <w:r>
              <w:rPr>
                <w:rFonts w:ascii="Arial" w:hAnsi="Arial"/>
                <w:b w:val="0"/>
                <w:sz w:val="16"/>
              </w:rPr>
              <w:t>≥98%</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Targeted fixes</w:t>
            </w:r>
          </w:p>
        </w:tc>
      </w:tr>
      <w:tr>
        <w:tc>
          <w:tcPr>
            <w:tcW w:type="dxa" w:w="2880"/>
          </w:tcPr>
          <w:p>
            <w:r/>
            <w:r>
              <w:rPr>
                <w:rFonts w:ascii="Arial" w:hAnsi="Arial"/>
                <w:b w:val="0"/>
                <w:sz w:val="16"/>
              </w:rPr>
              <w:t>Remediation closure</w:t>
            </w:r>
          </w:p>
        </w:tc>
        <w:tc>
          <w:tcPr>
            <w:tcW w:type="dxa" w:w="1440"/>
          </w:tcPr>
          <w:p>
            <w:r/>
            <w:r>
              <w:rPr>
                <w:rFonts w:ascii="Arial" w:hAnsi="Arial"/>
                <w:b w:val="0"/>
                <w:sz w:val="16"/>
              </w:rPr>
              <w:t>85%</w:t>
            </w:r>
          </w:p>
        </w:tc>
        <w:tc>
          <w:tcPr>
            <w:tcW w:type="dxa" w:w="1728"/>
          </w:tcPr>
          <w:p>
            <w:r/>
            <w:r>
              <w:rPr>
                <w:rFonts w:ascii="Arial" w:hAnsi="Arial"/>
                <w:b w:val="0"/>
                <w:sz w:val="16"/>
              </w:rPr>
              <w:t>≥90%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Clear backlog</w:t>
            </w:r>
          </w:p>
        </w:tc>
      </w:tr>
      <w:tr>
        <w:tc>
          <w:tcPr>
            <w:tcW w:type="dxa" w:w="2880"/>
            <w:shd w:val="clear" w:fill="F4F7FB"/>
          </w:tcPr>
          <w:p>
            <w:r/>
            <w:r>
              <w:rPr>
                <w:rFonts w:ascii="Arial" w:hAnsi="Arial"/>
                <w:b w:val="0"/>
                <w:sz w:val="16"/>
              </w:rPr>
              <w:t>Elements profiled</w:t>
            </w:r>
          </w:p>
        </w:tc>
        <w:tc>
          <w:tcPr>
            <w:tcW w:type="dxa" w:w="1440"/>
            <w:shd w:val="clear" w:fill="F4F7FB"/>
          </w:tcPr>
          <w:p>
            <w:r/>
            <w:r>
              <w:rPr>
                <w:rFonts w:ascii="Arial" w:hAnsi="Arial"/>
                <w:b w:val="0"/>
                <w:sz w:val="16"/>
              </w:rPr>
              <w:t>100%</w:t>
            </w:r>
          </w:p>
        </w:tc>
        <w:tc>
          <w:tcPr>
            <w:tcW w:type="dxa" w:w="1728"/>
            <w:shd w:val="clear" w:fill="F4F7FB"/>
          </w:tcPr>
          <w:p>
            <w:r/>
            <w:r>
              <w:rPr>
                <w:rFonts w:ascii="Arial" w:hAnsi="Arial"/>
                <w:b w:val="0"/>
                <w:sz w:val="16"/>
              </w:rPr>
              <w:t>100%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2"/>
      </w:pPr>
      <w:r>
        <w:t>Board Reporting Example</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Data quality</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Overall 92% vs 95% target; two domains below target</w:t>
            </w:r>
          </w:p>
        </w:tc>
      </w:tr>
      <w:tr>
        <w:tc>
          <w:tcPr>
            <w:tcW w:type="dxa" w:w="2736"/>
            <w:shd w:val="clear" w:fill="F4F7FB"/>
          </w:tcPr>
          <w:p>
            <w:r/>
            <w:r>
              <w:rPr>
                <w:rFonts w:ascii="Arial" w:hAnsi="Arial"/>
                <w:b w:val="0"/>
                <w:sz w:val="16"/>
              </w:rPr>
              <w:t>Trend</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Improving quarter on quarter</w:t>
            </w:r>
          </w:p>
        </w:tc>
      </w:tr>
      <w:tr>
        <w:tc>
          <w:tcPr>
            <w:tcW w:type="dxa" w:w="2736"/>
          </w:tcPr>
          <w:p>
            <w:r/>
            <w:r>
              <w:rPr>
                <w:rFonts w:ascii="Arial" w:hAnsi="Arial"/>
                <w:b w:val="0"/>
                <w:sz w:val="16"/>
              </w:rPr>
              <w:t>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Vendor data weakness affects procurement analytics</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data-entry validation project</w:t>
            </w:r>
          </w:p>
        </w:tc>
      </w:tr>
    </w:tbl>
    <w:p>
      <w:pPr>
        <w:pStyle w:val="Heading2"/>
      </w:pPr>
      <w:r>
        <w:t>Notes &amp; Disclaimer</w:t>
      </w:r>
    </w:p>
    <w:p>
      <w:r>
        <w:rPr>
          <w:b w:val="0"/>
          <w:i/>
          <w:sz w:val="18"/>
        </w:rPr>
        <w:t>This toolkit is a professional management resource, not legal or regulatory advice. Calibrate scoring, tiers, policies and governance to your organisation, sector and applicable regulation. Data-protection items should be confirmed against the Nigeria Data Protection Act (NDPA) and other applicable law; AI-specific obligations should be confirmed against current and emerging regulation.</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