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Board Reporting Toolkit™</w:t>
      </w:r>
    </w:p>
    <w:p>
      <w:pPr>
        <w:jc w:val="center"/>
      </w:pPr>
      <w:r>
        <w:rPr>
          <w:color w:val="C97B2C"/>
          <w:sz w:val="26"/>
        </w:rPr>
        <w:t>Report finance to the board with clarity</w:t>
      </w:r>
    </w:p>
    <w:p/>
    <w:p/>
    <w:p>
      <w:pPr>
        <w:jc w:val="center"/>
      </w:pPr>
      <w:r>
        <w:rPr>
          <w:color w:val="555555"/>
          <w:sz w:val="20"/>
        </w:rPr>
        <w:t>CFO / Finance Reporting Team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Full Guide</w:t>
      </w:r>
    </w:p>
    <w:p>
      <w:r>
        <w:rPr>
          <w:b w:val="0"/>
          <w:i w:val="0"/>
          <w:sz w:val="20"/>
        </w:rPr>
        <w:t>This toolkit helps the CFO report finance to the board with clarity and impact — a clear board finance pack, decision-grade KPIs, insightful commentary and a reporting cadence.</w:t>
      </w:r>
    </w:p>
    <w:p>
      <w:pPr>
        <w:pStyle w:val="Heading2"/>
      </w:pPr>
      <w:r>
        <w:t>Operating lifecycle</w:t>
      </w:r>
    </w:p>
    <w:p>
      <w:pPr>
        <w:pStyle w:val="ListNumber"/>
      </w:pPr>
      <w:r>
        <w:rPr>
          <w:sz w:val="19"/>
        </w:rPr>
        <w:t>Plan — the reporting calendar and pack structure</w:t>
      </w:r>
    </w:p>
    <w:p>
      <w:pPr>
        <w:pStyle w:val="ListNumber"/>
      </w:pPr>
      <w:r>
        <w:rPr>
          <w:sz w:val="19"/>
        </w:rPr>
        <w:t>Build — the board finance pack and KPIs</w:t>
      </w:r>
    </w:p>
    <w:p>
      <w:pPr>
        <w:pStyle w:val="ListNumber"/>
      </w:pPr>
      <w:r>
        <w:rPr>
          <w:sz w:val="19"/>
        </w:rPr>
        <w:t>Comment — insight, not just numbers</w:t>
      </w:r>
    </w:p>
    <w:p>
      <w:pPr>
        <w:pStyle w:val="ListNumber"/>
      </w:pPr>
      <w:r>
        <w:rPr>
          <w:sz w:val="19"/>
        </w:rPr>
        <w:t>Review — quality-assure before issue</w:t>
      </w:r>
    </w:p>
    <w:p>
      <w:pPr>
        <w:pStyle w:val="ListNumber"/>
      </w:pPr>
      <w:r>
        <w:rPr>
          <w:sz w:val="19"/>
        </w:rPr>
        <w:t>Present — clear board communication</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Reactive / manual</w:t>
            </w:r>
          </w:p>
        </w:tc>
        <w:tc>
          <w:tcPr>
            <w:tcW w:type="dxa" w:w="2232"/>
          </w:tcPr>
          <w:p>
            <w:r/>
            <w:r>
              <w:rPr>
                <w:rFonts w:ascii="Arial" w:hAnsi="Arial"/>
                <w:b w:val="0"/>
                <w:sz w:val="16"/>
              </w:rPr>
              <w:t>Core but unstandardised</w:t>
            </w:r>
          </w:p>
        </w:tc>
        <w:tc>
          <w:tcPr>
            <w:tcW w:type="dxa" w:w="2232"/>
          </w:tcPr>
          <w:p>
            <w:r/>
            <w:r>
              <w:rPr>
                <w:rFonts w:ascii="Arial" w:hAnsi="Arial"/>
                <w:b w:val="0"/>
                <w:sz w:val="16"/>
              </w:rPr>
              <w:t>Standardised &amp; controlled</w:t>
            </w:r>
          </w:p>
        </w:tc>
        <w:tc>
          <w:tcPr>
            <w:tcW w:type="dxa" w:w="2232"/>
          </w:tcPr>
          <w:p>
            <w:r/>
            <w:r>
              <w:rPr>
                <w:rFonts w:ascii="Arial" w:hAnsi="Arial"/>
                <w:b w:val="0"/>
                <w:sz w:val="16"/>
              </w:rPr>
              <w:t>Measured &amp; automated</w:t>
            </w:r>
          </w:p>
        </w:tc>
        <w:tc>
          <w:tcPr>
            <w:tcW w:type="dxa" w:w="2232"/>
          </w:tcPr>
          <w:p>
            <w:r/>
            <w:r>
              <w:rPr>
                <w:rFonts w:ascii="Arial" w:hAnsi="Arial"/>
                <w:b w:val="0"/>
                <w:sz w:val="16"/>
              </w:rPr>
              <w:t>Predictive &amp; value-creating</w:t>
            </w:r>
          </w:p>
        </w:tc>
      </w:tr>
    </w:tbl>
    <w:p>
      <w:pPr>
        <w:pStyle w:val="Heading2"/>
      </w:pPr>
      <w:r>
        <w:t>Key components</w:t>
      </w:r>
    </w:p>
    <w:p>
      <w:pPr>
        <w:pStyle w:val="ListBullet"/>
      </w:pPr>
      <w:r>
        <w:rPr>
          <w:sz w:val="19"/>
        </w:rPr>
        <w:t>Board finance pack</w:t>
      </w:r>
    </w:p>
    <w:p>
      <w:pPr>
        <w:pStyle w:val="ListBullet"/>
      </w:pPr>
      <w:r>
        <w:rPr>
          <w:sz w:val="19"/>
        </w:rPr>
        <w:t>KPI &amp; metric design</w:t>
      </w:r>
    </w:p>
    <w:p>
      <w:pPr>
        <w:pStyle w:val="ListBullet"/>
      </w:pPr>
      <w:r>
        <w:rPr>
          <w:sz w:val="19"/>
        </w:rPr>
        <w:t>Commentary &amp; insight</w:t>
      </w:r>
    </w:p>
    <w:p>
      <w:pPr>
        <w:pStyle w:val="ListBullet"/>
      </w:pPr>
      <w:r>
        <w:rPr>
          <w:sz w:val="19"/>
        </w:rPr>
        <w:t>Reporting calendar</w:t>
      </w:r>
    </w:p>
    <w:p>
      <w:pPr>
        <w:pStyle w:val="ListBullet"/>
      </w:pPr>
      <w:r>
        <w:rPr>
          <w:sz w:val="19"/>
        </w:rPr>
        <w:t>Quality &amp; controls</w:t>
      </w:r>
    </w:p>
    <w:p>
      <w:pPr>
        <w:pStyle w:val="ListBullet"/>
      </w:pPr>
      <w:r>
        <w:rPr>
          <w:sz w:val="19"/>
        </w:rPr>
        <w:t>Board communication</w:t>
      </w:r>
    </w:p>
    <w:p>
      <w:pPr>
        <w:pStyle w:val="Heading1"/>
      </w:pPr>
      <w:r>
        <w:t>2. Templates &amp; Contents</w:t>
      </w:r>
    </w:p>
    <w:p>
      <w:pPr>
        <w:pStyle w:val="Heading3"/>
      </w:pPr>
      <w:r>
        <w:t>Board finance pack template</w:t>
      </w:r>
    </w:p>
    <w:p>
      <w:r>
        <w:rPr>
          <w:b w:val="0"/>
          <w:i w:val="0"/>
          <w:sz w:val="19"/>
        </w:rPr>
        <w:t>Standard structure for the board finance pack.</w:t>
      </w:r>
    </w:p>
    <w:p>
      <w:pPr>
        <w:pStyle w:val="Heading3"/>
      </w:pPr>
      <w:r>
        <w:t>Finance KPI library</w:t>
      </w:r>
    </w:p>
    <w:p>
      <w:r>
        <w:rPr>
          <w:b w:val="0"/>
          <w:i w:val="0"/>
          <w:sz w:val="19"/>
        </w:rPr>
        <w:t>Reusable KPIs for board reporting (supplied as a working XLSX).</w:t>
      </w:r>
    </w:p>
    <w:p>
      <w:pPr>
        <w:pStyle w:val="Heading3"/>
      </w:pPr>
      <w:r>
        <w:t>Management commentary guide</w:t>
      </w:r>
    </w:p>
    <w:p>
      <w:r>
        <w:rPr>
          <w:b w:val="0"/>
          <w:i w:val="0"/>
          <w:sz w:val="19"/>
        </w:rPr>
        <w:t>Write commentary that explains the 'why'.</w:t>
      </w:r>
    </w:p>
    <w:p>
      <w:pPr>
        <w:pStyle w:val="Heading3"/>
      </w:pPr>
      <w:r>
        <w:t>CFO dashboard template</w:t>
      </w:r>
    </w:p>
    <w:p>
      <w:r>
        <w:rPr>
          <w:b w:val="0"/>
          <w:i w:val="0"/>
          <w:sz w:val="19"/>
        </w:rPr>
        <w:t>One-page executive scorecard (supplied as a working XLSX).</w:t>
      </w:r>
    </w:p>
    <w:p>
      <w:pPr>
        <w:pStyle w:val="Heading3"/>
      </w:pPr>
      <w:r>
        <w:t>Variance analysis template</w:t>
      </w:r>
    </w:p>
    <w:p>
      <w:r>
        <w:rPr>
          <w:b w:val="0"/>
          <w:i w:val="0"/>
          <w:sz w:val="19"/>
        </w:rPr>
        <w:t>Explain performance against budget.</w:t>
      </w:r>
    </w:p>
    <w:p>
      <w:pPr>
        <w:pStyle w:val="Heading1"/>
      </w:pPr>
      <w:r>
        <w:t>3. Checklists</w:t>
      </w:r>
    </w:p>
    <w:p>
      <w:pPr>
        <w:ind w:left="288"/>
      </w:pPr>
      <w:r>
        <w:rPr>
          <w:sz w:val="19"/>
        </w:rPr>
        <w:t>☐  Reporting calendar in place</w:t>
      </w:r>
    </w:p>
    <w:p>
      <w:pPr>
        <w:ind w:left="288"/>
      </w:pPr>
      <w:r>
        <w:rPr>
          <w:sz w:val="19"/>
        </w:rPr>
        <w:t>☐  Board finance pack to a clear standard</w:t>
      </w:r>
    </w:p>
    <w:p>
      <w:pPr>
        <w:ind w:left="288"/>
      </w:pPr>
      <w:r>
        <w:rPr>
          <w:sz w:val="19"/>
        </w:rPr>
        <w:t>☐  KPIs relevant and decision-grade</w:t>
      </w:r>
    </w:p>
    <w:p>
      <w:pPr>
        <w:ind w:left="288"/>
      </w:pPr>
      <w:r>
        <w:rPr>
          <w:sz w:val="19"/>
        </w:rPr>
        <w:t>☐  Commentary provides insight</w:t>
      </w:r>
    </w:p>
    <w:p>
      <w:pPr>
        <w:ind w:left="288"/>
      </w:pPr>
      <w:r>
        <w:rPr>
          <w:sz w:val="19"/>
        </w:rPr>
        <w:t>☐  Reporting quality assured</w:t>
      </w:r>
    </w:p>
    <w:p>
      <w:pPr>
        <w:ind w:left="288"/>
      </w:pPr>
      <w:r>
        <w:rPr>
          <w:sz w:val="19"/>
        </w:rPr>
        <w:t>☐  Reporting issued on time</w:t>
      </w:r>
    </w:p>
    <w:p>
      <w:pPr>
        <w:ind w:left="288"/>
      </w:pPr>
      <w:r>
        <w:rPr>
          <w:sz w:val="19"/>
        </w:rPr>
        <w:t>☐  Board receives a clear, balanced view</w:t>
      </w:r>
    </w:p>
    <w:p>
      <w:pPr>
        <w:pStyle w:val="Heading2"/>
      </w:pPr>
      <w:r>
        <w:t>Governance Structure</w:t>
      </w:r>
    </w:p>
    <w:p>
      <w:r>
        <w:rPr>
          <w:b w:val="0"/>
          <w:i w:val="0"/>
          <w:sz w:val="20"/>
        </w:rPr>
        <w:t>Board reporting is coordinated by the CFO and finance reporting team, approved before issue to the board:</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financial reporting, controls, risk and capital</w:t>
            </w:r>
          </w:p>
        </w:tc>
      </w:tr>
      <w:tr>
        <w:tc>
          <w:tcPr>
            <w:tcW w:type="dxa" w:w="3312"/>
            <w:shd w:val="clear" w:fill="F4F7FB"/>
          </w:tcPr>
          <w:p>
            <w:r/>
            <w:r>
              <w:rPr>
                <w:rFonts w:ascii="Arial" w:hAnsi="Arial"/>
                <w:b w:val="0"/>
                <w:sz w:val="16"/>
              </w:rPr>
              <w:t>CFO</w:t>
            </w:r>
          </w:p>
        </w:tc>
        <w:tc>
          <w:tcPr>
            <w:tcW w:type="dxa" w:w="8208"/>
            <w:shd w:val="clear" w:fill="F4F7FB"/>
          </w:tcPr>
          <w:p>
            <w:r/>
            <w:r>
              <w:rPr>
                <w:rFonts w:ascii="Arial" w:hAnsi="Arial"/>
                <w:b w:val="0"/>
                <w:sz w:val="16"/>
              </w:rPr>
              <w:t>Owns the finance function and agenda</w:t>
            </w:r>
          </w:p>
        </w:tc>
      </w:tr>
      <w:tr>
        <w:tc>
          <w:tcPr>
            <w:tcW w:type="dxa" w:w="3312"/>
          </w:tcPr>
          <w:p>
            <w:r/>
            <w:r>
              <w:rPr>
                <w:rFonts w:ascii="Arial" w:hAnsi="Arial"/>
                <w:b w:val="0"/>
                <w:sz w:val="16"/>
              </w:rPr>
              <w:t>Finance leadership</w:t>
            </w:r>
          </w:p>
        </w:tc>
        <w:tc>
          <w:tcPr>
            <w:tcW w:type="dxa" w:w="8208"/>
          </w:tcPr>
          <w:p>
            <w:r/>
            <w:r>
              <w:rPr>
                <w:rFonts w:ascii="Arial" w:hAnsi="Arial"/>
                <w:b w:val="0"/>
                <w:sz w:val="16"/>
              </w:rPr>
              <w:t>Run FP&amp;A, control, treasury, reporting</w:t>
            </w:r>
          </w:p>
        </w:tc>
      </w:tr>
      <w:tr>
        <w:tc>
          <w:tcPr>
            <w:tcW w:type="dxa" w:w="3312"/>
            <w:shd w:val="clear" w:fill="F4F7FB"/>
          </w:tcPr>
          <w:p>
            <w:r/>
            <w:r>
              <w:rPr>
                <w:rFonts w:ascii="Arial" w:hAnsi="Arial"/>
                <w:b w:val="0"/>
                <w:sz w:val="16"/>
              </w:rPr>
              <w:t>Finance business partners</w:t>
            </w:r>
          </w:p>
        </w:tc>
        <w:tc>
          <w:tcPr>
            <w:tcW w:type="dxa" w:w="8208"/>
            <w:shd w:val="clear" w:fill="F4F7FB"/>
          </w:tcPr>
          <w:p>
            <w:r/>
            <w:r>
              <w:rPr>
                <w:rFonts w:ascii="Arial" w:hAnsi="Arial"/>
                <w:b w:val="0"/>
                <w:sz w:val="16"/>
              </w:rPr>
              <w:t>Connect finance to the business</w:t>
            </w:r>
          </w:p>
        </w:tc>
      </w:tr>
      <w:tr>
        <w:tc>
          <w:tcPr>
            <w:tcW w:type="dxa" w:w="3312"/>
          </w:tcPr>
          <w:p>
            <w:r/>
            <w:r>
              <w:rPr>
                <w:rFonts w:ascii="Arial" w:hAnsi="Arial"/>
                <w:b w:val="0"/>
                <w:sz w:val="16"/>
              </w:rPr>
              <w:t>Finance team</w:t>
            </w:r>
          </w:p>
        </w:tc>
        <w:tc>
          <w:tcPr>
            <w:tcW w:type="dxa" w:w="8208"/>
          </w:tcPr>
          <w:p>
            <w:r/>
            <w:r>
              <w:rPr>
                <w:rFonts w:ascii="Arial" w:hAnsi="Arial"/>
                <w:b w:val="0"/>
                <w:sz w:val="16"/>
              </w:rPr>
              <w:t>Deliver close, reporting, analysis and controls</w:t>
            </w:r>
          </w:p>
        </w:tc>
      </w:tr>
    </w:tbl>
    <w:p>
      <w:pPr>
        <w:pStyle w:val="Heading2"/>
      </w:pPr>
      <w:r>
        <w:t>Reporting Example</w:t>
      </w:r>
    </w:p>
    <w:p>
      <w:r>
        <w:rPr>
          <w:b w:val="0"/>
          <w:i w:val="0"/>
          <w:sz w:val="19"/>
        </w:rPr>
        <w:t>Standard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Reporting timeliness</w:t>
            </w:r>
          </w:p>
        </w:tc>
        <w:tc>
          <w:tcPr>
            <w:tcW w:type="dxa" w:w="1440"/>
          </w:tcPr>
          <w:p>
            <w:r/>
            <w:r>
              <w:rPr>
                <w:rFonts w:ascii="Arial" w:hAnsi="Arial"/>
                <w:b w:val="0"/>
                <w:sz w:val="16"/>
              </w:rPr>
              <w:t>5 days</w:t>
            </w:r>
          </w:p>
        </w:tc>
        <w:tc>
          <w:tcPr>
            <w:tcW w:type="dxa" w:w="1728"/>
          </w:tcPr>
          <w:p>
            <w:r/>
            <w:r>
              <w:rPr>
                <w:rFonts w:ascii="Arial" w:hAnsi="Arial"/>
                <w:b w:val="0"/>
                <w:sz w:val="16"/>
              </w:rPr>
              <w:t>≤5 days</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KPI relevance</w:t>
            </w:r>
          </w:p>
        </w:tc>
        <w:tc>
          <w:tcPr>
            <w:tcW w:type="dxa" w:w="1440"/>
            <w:shd w:val="clear" w:fill="F4F7FB"/>
          </w:tcPr>
          <w:p>
            <w:r/>
            <w:r>
              <w:rPr>
                <w:rFonts w:ascii="Arial" w:hAnsi="Arial"/>
                <w:b w:val="0"/>
                <w:sz w:val="16"/>
              </w:rPr>
              <w:t>High</w:t>
            </w:r>
          </w:p>
        </w:tc>
        <w:tc>
          <w:tcPr>
            <w:tcW w:type="dxa" w:w="1728"/>
            <w:shd w:val="clear" w:fill="F4F7FB"/>
          </w:tcPr>
          <w:p>
            <w:r/>
            <w:r>
              <w:rPr>
                <w:rFonts w:ascii="Arial" w:hAnsi="Arial"/>
                <w:b w:val="0"/>
                <w:sz w:val="16"/>
              </w:rPr>
              <w:t>High</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Commentary quality</w:t>
            </w:r>
          </w:p>
        </w:tc>
        <w:tc>
          <w:tcPr>
            <w:tcW w:type="dxa" w:w="1440"/>
          </w:tcPr>
          <w:p>
            <w:r/>
            <w:r>
              <w:rPr>
                <w:rFonts w:ascii="Arial" w:hAnsi="Arial"/>
                <w:b w:val="0"/>
                <w:sz w:val="16"/>
              </w:rPr>
              <w:t>Good</w:t>
            </w:r>
          </w:p>
        </w:tc>
        <w:tc>
          <w:tcPr>
            <w:tcW w:type="dxa" w:w="1728"/>
          </w:tcPr>
          <w:p>
            <w:r/>
            <w:r>
              <w:rPr>
                <w:rFonts w:ascii="Arial" w:hAnsi="Arial"/>
                <w:b w:val="0"/>
                <w:sz w:val="16"/>
              </w:rPr>
              <w:t>High</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Deepen insight</w:t>
            </w:r>
          </w:p>
        </w:tc>
      </w:tr>
      <w:tr>
        <w:tc>
          <w:tcPr>
            <w:tcW w:type="dxa" w:w="2880"/>
            <w:shd w:val="clear" w:fill="F4F7FB"/>
          </w:tcPr>
          <w:p>
            <w:r/>
            <w:r>
              <w:rPr>
                <w:rFonts w:ascii="Arial" w:hAnsi="Arial"/>
                <w:b w:val="0"/>
                <w:sz w:val="16"/>
              </w:rPr>
              <w:t>Restatements</w:t>
            </w:r>
          </w:p>
        </w:tc>
        <w:tc>
          <w:tcPr>
            <w:tcW w:type="dxa" w:w="1440"/>
            <w:shd w:val="clear" w:fill="F4F7FB"/>
          </w:tcPr>
          <w:p>
            <w:r/>
            <w:r>
              <w:rPr>
                <w:rFonts w:ascii="Arial" w:hAnsi="Arial"/>
                <w:b w:val="0"/>
                <w:sz w:val="16"/>
              </w:rPr>
              <w:t>0</w:t>
            </w:r>
          </w:p>
        </w:tc>
        <w:tc>
          <w:tcPr>
            <w:tcW w:type="dxa" w:w="1728"/>
            <w:shd w:val="clear" w:fill="F4F7FB"/>
          </w:tcPr>
          <w:p>
            <w:r/>
            <w:r>
              <w:rPr>
                <w:rFonts w:ascii="Arial" w:hAnsi="Arial"/>
                <w:b w:val="0"/>
                <w:sz w:val="16"/>
              </w:rPr>
              <w:t>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Board reporting</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Timely, clear finance reporting</w:t>
            </w:r>
          </w:p>
        </w:tc>
      </w:tr>
      <w:tr>
        <w:tc>
          <w:tcPr>
            <w:tcW w:type="dxa" w:w="2736"/>
            <w:shd w:val="clear" w:fill="F4F7FB"/>
          </w:tcPr>
          <w:p>
            <w:r/>
            <w:r>
              <w:rPr>
                <w:rFonts w:ascii="Arial" w:hAnsi="Arial"/>
                <w:b w:val="0"/>
                <w:sz w:val="16"/>
              </w:rPr>
              <w:t>Insight</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Commentary deepening</w:t>
            </w:r>
          </w:p>
        </w:tc>
      </w:tr>
      <w:tr>
        <w:tc>
          <w:tcPr>
            <w:tcW w:type="dxa" w:w="2736"/>
          </w:tcPr>
          <w:p>
            <w:r/>
            <w:r>
              <w:rPr>
                <w:rFonts w:ascii="Arial" w:hAnsi="Arial"/>
                <w:b w:val="0"/>
                <w:sz w:val="16"/>
              </w:rPr>
              <w:t>Quality</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No restatements</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Note reporting position</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